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ascii="微软雅黑" w:hAnsi="微软雅黑" w:eastAsia="微软雅黑"/>
          <w:color w:val="000000"/>
          <w:szCs w:val="21"/>
        </w:rPr>
      </w:pPr>
      <w:bookmarkStart w:id="0" w:name="_GoBack"/>
      <w:bookmarkEnd w:id="0"/>
      <w:r>
        <w:rPr>
          <w:rFonts w:hint="eastAsia" w:ascii="仿宋_GB2312" w:hAnsi="仿宋" w:eastAsia="仿宋_GB2312"/>
          <w:sz w:val="32"/>
          <w:szCs w:val="32"/>
        </w:rPr>
        <w:t>附件1</w:t>
      </w:r>
    </w:p>
    <w:p>
      <w:pPr>
        <w:pStyle w:val="3"/>
        <w:shd w:val="clear" w:color="auto" w:fill="FFFFFF"/>
        <w:spacing w:before="130" w:after="0" w:line="250" w:lineRule="atLeast"/>
        <w:jc w:val="center"/>
        <w:rPr>
          <w:rFonts w:ascii="黑体" w:hAnsi="����" w:eastAsia="黑体"/>
          <w:color w:val="000000"/>
          <w:sz w:val="36"/>
          <w:szCs w:val="36"/>
        </w:rPr>
      </w:pPr>
      <w:r>
        <w:rPr>
          <w:rFonts w:hint="eastAsia" w:ascii="黑体" w:hAnsi="����" w:eastAsia="黑体"/>
          <w:color w:val="000000"/>
          <w:sz w:val="36"/>
          <w:szCs w:val="36"/>
        </w:rPr>
        <w:t>海南省土地规划机构评选</w:t>
      </w:r>
      <w:r>
        <w:rPr>
          <w:rFonts w:ascii="黑体" w:hAnsi="����" w:eastAsia="黑体"/>
          <w:color w:val="000000"/>
          <w:sz w:val="36"/>
          <w:szCs w:val="36"/>
        </w:rPr>
        <w:t>推荐</w:t>
      </w:r>
      <w:r>
        <w:rPr>
          <w:rFonts w:hint="eastAsia" w:ascii="黑体" w:hAnsi="����" w:eastAsia="黑体"/>
          <w:color w:val="000000"/>
          <w:sz w:val="36"/>
          <w:szCs w:val="36"/>
        </w:rPr>
        <w:t>管理办法</w:t>
      </w:r>
    </w:p>
    <w:p>
      <w:pPr>
        <w:pStyle w:val="3"/>
        <w:shd w:val="clear" w:color="auto" w:fill="FFFFFF"/>
        <w:spacing w:before="130" w:after="0" w:line="250" w:lineRule="atLeast"/>
        <w:jc w:val="center"/>
        <w:rPr>
          <w:rFonts w:ascii="黑体" w:eastAsia="黑体"/>
          <w:color w:val="000000"/>
          <w:sz w:val="30"/>
          <w:szCs w:val="30"/>
        </w:rPr>
      </w:pPr>
      <w:r>
        <w:rPr>
          <w:rFonts w:hint="eastAsia" w:ascii="黑体" w:hAnsi="����" w:eastAsia="黑体"/>
          <w:color w:val="000000"/>
          <w:sz w:val="36"/>
          <w:szCs w:val="36"/>
        </w:rPr>
        <w:t>（试行）</w:t>
      </w:r>
    </w:p>
    <w:p>
      <w:pPr>
        <w:widowControl/>
        <w:shd w:val="clear" w:color="auto" w:fill="FFFFFF"/>
        <w:spacing w:line="250" w:lineRule="atLeast"/>
        <w:ind w:firstLine="600" w:firstLineChars="200"/>
        <w:rPr>
          <w:rFonts w:ascii="黑体" w:eastAsia="黑体"/>
          <w:color w:val="000000"/>
          <w:sz w:val="30"/>
          <w:szCs w:val="30"/>
        </w:rPr>
      </w:pPr>
      <w:r>
        <w:rPr>
          <w:rFonts w:hint="eastAsia" w:ascii="黑体" w:eastAsia="黑体"/>
          <w:color w:val="000000"/>
          <w:sz w:val="30"/>
          <w:szCs w:val="30"/>
        </w:rPr>
        <w:t>第一章　总则</w:t>
      </w:r>
    </w:p>
    <w:p>
      <w:pPr>
        <w:widowControl/>
        <w:shd w:val="clear" w:color="auto" w:fill="FFFFFF"/>
        <w:spacing w:line="250" w:lineRule="atLeast"/>
        <w:ind w:firstLine="567"/>
        <w:rPr>
          <w:color w:val="000000"/>
          <w:sz w:val="28"/>
          <w:szCs w:val="28"/>
        </w:rPr>
      </w:pPr>
      <w:r>
        <w:rPr>
          <w:color w:val="000000"/>
          <w:sz w:val="28"/>
          <w:szCs w:val="28"/>
        </w:rPr>
        <w:t>第一条为加强土地规划机构的管理，规范土地规划业务人员的从业行为，提高土地规划工作水平，依据</w:t>
      </w:r>
      <w:r>
        <w:rPr>
          <w:rFonts w:hint="eastAsia"/>
          <w:color w:val="000000"/>
          <w:sz w:val="28"/>
          <w:szCs w:val="28"/>
        </w:rPr>
        <w:t>《海南省经济特区土地管理条例》</w:t>
      </w:r>
      <w:r>
        <w:rPr>
          <w:color w:val="000000"/>
          <w:sz w:val="28"/>
          <w:szCs w:val="28"/>
        </w:rPr>
        <w:t>和中国土地学会《土地规划机构评选推荐管理办法》，结合海南省实际，特制定本实施办法。</w:t>
      </w:r>
    </w:p>
    <w:p>
      <w:pPr>
        <w:widowControl/>
        <w:shd w:val="clear" w:color="auto" w:fill="FFFFFF"/>
        <w:spacing w:line="250" w:lineRule="atLeast"/>
        <w:ind w:firstLine="567"/>
        <w:rPr>
          <w:color w:val="000000"/>
          <w:sz w:val="28"/>
          <w:szCs w:val="28"/>
        </w:rPr>
      </w:pPr>
      <w:r>
        <w:rPr>
          <w:color w:val="000000"/>
          <w:sz w:val="28"/>
          <w:szCs w:val="28"/>
        </w:rPr>
        <w:t>第二条本办法所称土地规划机构是指依法设立、具有法人资格，专业从事国土规划、土地利用总体规划、土地整治规划、耕地保护规划、土地生态建设规划、土地整治工程规划以及其他土地专项规划编制、设计、评估、论证、 预审、咨询等业务的机构。</w:t>
      </w:r>
    </w:p>
    <w:p>
      <w:pPr>
        <w:widowControl/>
        <w:shd w:val="clear" w:color="auto" w:fill="FFFFFF"/>
        <w:spacing w:line="250" w:lineRule="atLeast"/>
        <w:ind w:firstLine="567"/>
        <w:rPr>
          <w:color w:val="000000"/>
          <w:sz w:val="28"/>
          <w:szCs w:val="28"/>
        </w:rPr>
      </w:pPr>
      <w:r>
        <w:rPr>
          <w:color w:val="000000"/>
          <w:sz w:val="28"/>
          <w:szCs w:val="28"/>
        </w:rPr>
        <w:t>第三条土地规划机构</w:t>
      </w:r>
      <w:r>
        <w:rPr>
          <w:rFonts w:hint="eastAsia"/>
          <w:color w:val="000000"/>
          <w:sz w:val="28"/>
          <w:szCs w:val="28"/>
        </w:rPr>
        <w:t>在海南省</w:t>
      </w:r>
      <w:r>
        <w:rPr>
          <w:color w:val="000000"/>
          <w:sz w:val="28"/>
          <w:szCs w:val="28"/>
        </w:rPr>
        <w:t>范围</w:t>
      </w:r>
      <w:r>
        <w:rPr>
          <w:rFonts w:hint="eastAsia"/>
          <w:color w:val="000000"/>
          <w:sz w:val="28"/>
          <w:szCs w:val="28"/>
        </w:rPr>
        <w:t>内</w:t>
      </w:r>
      <w:r>
        <w:rPr>
          <w:color w:val="000000"/>
          <w:sz w:val="28"/>
          <w:szCs w:val="28"/>
        </w:rPr>
        <w:t>从事土地规划、土地</w:t>
      </w:r>
      <w:r>
        <w:rPr>
          <w:rFonts w:hint="eastAsia"/>
          <w:color w:val="000000"/>
          <w:sz w:val="28"/>
          <w:szCs w:val="28"/>
        </w:rPr>
        <w:t>整治</w:t>
      </w:r>
      <w:r>
        <w:rPr>
          <w:color w:val="000000"/>
          <w:sz w:val="28"/>
          <w:szCs w:val="28"/>
        </w:rPr>
        <w:t>规划、耕地保护规划、土地</w:t>
      </w:r>
      <w:r>
        <w:rPr>
          <w:rFonts w:hint="eastAsia"/>
          <w:color w:val="000000"/>
          <w:sz w:val="28"/>
          <w:szCs w:val="28"/>
        </w:rPr>
        <w:t>复垦</w:t>
      </w:r>
      <w:r>
        <w:rPr>
          <w:color w:val="000000"/>
          <w:sz w:val="28"/>
          <w:szCs w:val="28"/>
        </w:rPr>
        <w:t>规划以及其他专项规划业务，</w:t>
      </w:r>
      <w:r>
        <w:rPr>
          <w:rFonts w:hint="eastAsia"/>
          <w:color w:val="000000"/>
          <w:sz w:val="28"/>
          <w:szCs w:val="28"/>
        </w:rPr>
        <w:t>可自愿</w:t>
      </w:r>
      <w:r>
        <w:rPr>
          <w:color w:val="000000"/>
          <w:sz w:val="28"/>
          <w:szCs w:val="28"/>
        </w:rPr>
        <w:t>按照本办法向海南省土地学会申请</w:t>
      </w:r>
      <w:r>
        <w:rPr>
          <w:rFonts w:hint="eastAsia"/>
          <w:color w:val="000000"/>
          <w:sz w:val="28"/>
          <w:szCs w:val="28"/>
        </w:rPr>
        <w:t>乙级</w:t>
      </w:r>
      <w:r>
        <w:rPr>
          <w:color w:val="000000"/>
          <w:sz w:val="28"/>
          <w:szCs w:val="28"/>
        </w:rPr>
        <w:t>土地规划</w:t>
      </w:r>
      <w:r>
        <w:rPr>
          <w:rFonts w:hint="eastAsia"/>
          <w:color w:val="000000"/>
          <w:sz w:val="28"/>
          <w:szCs w:val="28"/>
        </w:rPr>
        <w:t>资质评选，经评选合格后，纳入海南省土地学会</w:t>
      </w:r>
      <w:r>
        <w:rPr>
          <w:color w:val="000000"/>
          <w:sz w:val="28"/>
          <w:szCs w:val="28"/>
        </w:rPr>
        <w:t>土地规划机构</w:t>
      </w:r>
      <w:r>
        <w:rPr>
          <w:rFonts w:hint="eastAsia"/>
          <w:color w:val="000000"/>
          <w:sz w:val="28"/>
          <w:szCs w:val="28"/>
        </w:rPr>
        <w:t>推荐名录。</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四</w:t>
      </w:r>
      <w:r>
        <w:rPr>
          <w:color w:val="000000"/>
          <w:sz w:val="28"/>
          <w:szCs w:val="28"/>
        </w:rPr>
        <w:t>条推荐名录分为土地规划甲级机构推荐名录、乙级机构推荐名录。土地规划甲级机构可承担全国范围内各级土地利用规划及其他专项规划的编制、设计、咨询等业务。土地规划乙级机构可承担</w:t>
      </w:r>
      <w:r>
        <w:rPr>
          <w:rFonts w:hint="eastAsia"/>
          <w:color w:val="000000"/>
          <w:sz w:val="28"/>
          <w:szCs w:val="28"/>
        </w:rPr>
        <w:t>海南</w:t>
      </w:r>
      <w:r>
        <w:rPr>
          <w:color w:val="000000"/>
          <w:sz w:val="28"/>
          <w:szCs w:val="28"/>
        </w:rPr>
        <w:t>省内各级土地利用规划及其他专项规划的编制、设计、咨询等业务。</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五</w:t>
      </w:r>
      <w:r>
        <w:rPr>
          <w:color w:val="000000"/>
          <w:sz w:val="28"/>
          <w:szCs w:val="28"/>
        </w:rPr>
        <w:t>条土地规划机构实行年度检查制度（以下简称年检）。</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六</w:t>
      </w:r>
      <w:r>
        <w:rPr>
          <w:color w:val="000000"/>
          <w:sz w:val="28"/>
          <w:szCs w:val="28"/>
        </w:rPr>
        <w:t>条　土地规划机构</w:t>
      </w:r>
      <w:r>
        <w:rPr>
          <w:rFonts w:hint="eastAsia"/>
          <w:color w:val="000000"/>
          <w:sz w:val="28"/>
          <w:szCs w:val="28"/>
        </w:rPr>
        <w:t>评选推荐</w:t>
      </w:r>
      <w:r>
        <w:rPr>
          <w:color w:val="000000"/>
          <w:sz w:val="28"/>
          <w:szCs w:val="28"/>
        </w:rPr>
        <w:t>和年检结果实行公示（公告）制度，接受社会监督。</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七</w:t>
      </w:r>
      <w:r>
        <w:rPr>
          <w:color w:val="000000"/>
          <w:sz w:val="28"/>
          <w:szCs w:val="28"/>
        </w:rPr>
        <w:t>条海南省土地学会负责向中国土地学会推荐省内土地规划甲级机构，负责乙级机构的评选推荐、资格延续认定，及规划机构的技术培训等管理工作。</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八</w:t>
      </w:r>
      <w:r>
        <w:rPr>
          <w:color w:val="000000"/>
          <w:sz w:val="28"/>
          <w:szCs w:val="28"/>
        </w:rPr>
        <w:t>条土地规划机构开展土地规划编制业务，以及所提交的工作成果，应当符合国家有关土地利用规划的法律、法规和规章，符合与土地规划编制有关的标准规范。</w:t>
      </w:r>
    </w:p>
    <w:p>
      <w:pPr>
        <w:widowControl/>
        <w:shd w:val="clear" w:color="auto" w:fill="FFFFFF"/>
        <w:spacing w:line="250" w:lineRule="atLeast"/>
        <w:ind w:firstLine="699" w:firstLineChars="233"/>
        <w:rPr>
          <w:rFonts w:ascii="黑体" w:eastAsia="黑体"/>
          <w:color w:val="000000"/>
          <w:sz w:val="30"/>
          <w:szCs w:val="30"/>
        </w:rPr>
      </w:pPr>
      <w:r>
        <w:rPr>
          <w:rFonts w:ascii="黑体" w:eastAsia="黑体"/>
          <w:color w:val="000000"/>
          <w:sz w:val="30"/>
          <w:szCs w:val="30"/>
        </w:rPr>
        <w:t>第二章 申</w:t>
      </w:r>
      <w:r>
        <w:rPr>
          <w:rFonts w:hint="eastAsia" w:ascii="黑体" w:eastAsia="黑体"/>
          <w:color w:val="000000"/>
          <w:sz w:val="30"/>
          <w:szCs w:val="30"/>
        </w:rPr>
        <w:t>报与评选</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九</w:t>
      </w:r>
      <w:r>
        <w:rPr>
          <w:color w:val="000000"/>
          <w:sz w:val="28"/>
          <w:szCs w:val="28"/>
        </w:rPr>
        <w:t>条　土地规划机构分为以下两类：</w:t>
      </w:r>
    </w:p>
    <w:p>
      <w:pPr>
        <w:widowControl/>
        <w:shd w:val="clear" w:color="auto" w:fill="FFFFFF"/>
        <w:spacing w:line="250" w:lineRule="atLeast"/>
        <w:ind w:firstLine="567"/>
        <w:rPr>
          <w:color w:val="000000"/>
          <w:sz w:val="28"/>
          <w:szCs w:val="28"/>
        </w:rPr>
      </w:pPr>
      <w:r>
        <w:rPr>
          <w:color w:val="000000"/>
          <w:sz w:val="28"/>
          <w:szCs w:val="28"/>
        </w:rPr>
        <w:t>（一）在全国范围内执业的土地规划甲级机构；</w:t>
      </w:r>
    </w:p>
    <w:p>
      <w:pPr>
        <w:widowControl/>
        <w:shd w:val="clear" w:color="auto" w:fill="FFFFFF"/>
        <w:spacing w:line="250" w:lineRule="atLeast"/>
        <w:ind w:firstLine="567"/>
        <w:rPr>
          <w:color w:val="000000"/>
          <w:sz w:val="28"/>
          <w:szCs w:val="28"/>
        </w:rPr>
      </w:pPr>
      <w:r>
        <w:rPr>
          <w:color w:val="000000"/>
          <w:sz w:val="28"/>
          <w:szCs w:val="28"/>
        </w:rPr>
        <w:t>（二）在海南省范围内执业的土地规划乙级机构。</w:t>
      </w:r>
    </w:p>
    <w:p>
      <w:pPr>
        <w:widowControl/>
        <w:shd w:val="clear" w:color="auto" w:fill="FFFFFF"/>
        <w:spacing w:line="250" w:lineRule="atLeast"/>
        <w:ind w:firstLine="280"/>
        <w:rPr>
          <w:color w:val="000000"/>
          <w:sz w:val="28"/>
          <w:szCs w:val="28"/>
        </w:rPr>
      </w:pPr>
      <w:r>
        <w:rPr>
          <w:color w:val="000000"/>
          <w:sz w:val="28"/>
          <w:szCs w:val="28"/>
        </w:rPr>
        <w:t>　第十条　土地规划乙级机构</w:t>
      </w:r>
      <w:r>
        <w:rPr>
          <w:rFonts w:hint="eastAsia"/>
          <w:color w:val="000000"/>
          <w:sz w:val="28"/>
          <w:szCs w:val="28"/>
        </w:rPr>
        <w:t>资质评选</w:t>
      </w:r>
      <w:r>
        <w:rPr>
          <w:color w:val="000000"/>
          <w:sz w:val="28"/>
          <w:szCs w:val="28"/>
        </w:rPr>
        <w:t>必须具备以下基本条件：</w:t>
      </w:r>
    </w:p>
    <w:p>
      <w:pPr>
        <w:widowControl/>
        <w:shd w:val="clear" w:color="auto" w:fill="FFFFFF"/>
        <w:spacing w:line="250" w:lineRule="atLeast"/>
        <w:ind w:firstLine="567"/>
        <w:rPr>
          <w:color w:val="000000"/>
          <w:sz w:val="28"/>
          <w:szCs w:val="28"/>
        </w:rPr>
      </w:pPr>
      <w:r>
        <w:rPr>
          <w:color w:val="000000"/>
          <w:sz w:val="28"/>
          <w:szCs w:val="28"/>
        </w:rPr>
        <w:t>（一）具有独立的法人资格，注册资本在</w:t>
      </w:r>
      <w:r>
        <w:rPr>
          <w:rFonts w:hint="eastAsia"/>
          <w:color w:val="000000"/>
          <w:sz w:val="28"/>
          <w:szCs w:val="28"/>
        </w:rPr>
        <w:t>3</w:t>
      </w:r>
      <w:r>
        <w:rPr>
          <w:color w:val="000000"/>
          <w:sz w:val="28"/>
          <w:szCs w:val="28"/>
        </w:rPr>
        <w:t>0万元以上；</w:t>
      </w:r>
    </w:p>
    <w:p>
      <w:pPr>
        <w:widowControl/>
        <w:shd w:val="clear" w:color="auto" w:fill="FFFFFF"/>
        <w:spacing w:line="250" w:lineRule="atLeast"/>
        <w:ind w:firstLine="567"/>
        <w:rPr>
          <w:color w:val="000000"/>
          <w:sz w:val="28"/>
          <w:szCs w:val="28"/>
        </w:rPr>
      </w:pPr>
      <w:r>
        <w:rPr>
          <w:color w:val="000000"/>
          <w:sz w:val="28"/>
          <w:szCs w:val="28"/>
        </w:rPr>
        <w:t>（二）</w:t>
      </w:r>
      <w:r>
        <w:rPr>
          <w:rFonts w:hint="eastAsia"/>
          <w:color w:val="000000"/>
          <w:sz w:val="28"/>
          <w:szCs w:val="28"/>
        </w:rPr>
        <w:t>全部专业技术人员中，</w:t>
      </w:r>
      <w:r>
        <w:rPr>
          <w:color w:val="000000"/>
          <w:sz w:val="28"/>
          <w:szCs w:val="28"/>
        </w:rPr>
        <w:t>具有高级技术职称的人员占全部专业技术人员的比例不低于10%；具有土地利用规划专业背景（包括土地利用规划、土地管理、城市与区域规划、地理</w:t>
      </w:r>
      <w:r>
        <w:rPr>
          <w:rFonts w:hint="eastAsia"/>
          <w:color w:val="000000"/>
          <w:sz w:val="28"/>
          <w:szCs w:val="28"/>
        </w:rPr>
        <w:t>等，下同</w:t>
      </w:r>
      <w:r>
        <w:rPr>
          <w:color w:val="000000"/>
          <w:sz w:val="28"/>
          <w:szCs w:val="28"/>
        </w:rPr>
        <w:t>）的中级以上（含中级）技术职称的人员不少于</w:t>
      </w:r>
      <w:r>
        <w:rPr>
          <w:rFonts w:hint="eastAsia"/>
          <w:color w:val="000000"/>
          <w:sz w:val="28"/>
          <w:szCs w:val="28"/>
        </w:rPr>
        <w:t>6</w:t>
      </w:r>
      <w:r>
        <w:rPr>
          <w:color w:val="000000"/>
          <w:sz w:val="28"/>
          <w:szCs w:val="28"/>
        </w:rPr>
        <w:t>人，其中具有高级技术职称的人员不少于</w:t>
      </w:r>
      <w:r>
        <w:rPr>
          <w:rFonts w:hint="eastAsia"/>
          <w:color w:val="000000"/>
          <w:sz w:val="28"/>
          <w:szCs w:val="28"/>
        </w:rPr>
        <w:t>2</w:t>
      </w:r>
      <w:r>
        <w:rPr>
          <w:color w:val="000000"/>
          <w:sz w:val="28"/>
          <w:szCs w:val="28"/>
        </w:rPr>
        <w:t>人；</w:t>
      </w:r>
    </w:p>
    <w:p>
      <w:pPr>
        <w:widowControl/>
        <w:shd w:val="clear" w:color="auto" w:fill="FFFFFF"/>
        <w:spacing w:line="250" w:lineRule="atLeast"/>
        <w:ind w:firstLine="567"/>
        <w:rPr>
          <w:color w:val="000000"/>
          <w:sz w:val="28"/>
          <w:szCs w:val="28"/>
        </w:rPr>
      </w:pPr>
      <w:r>
        <w:rPr>
          <w:color w:val="000000"/>
          <w:sz w:val="28"/>
          <w:szCs w:val="28"/>
        </w:rPr>
        <w:t>（三）</w:t>
      </w:r>
      <w:r>
        <w:rPr>
          <w:rFonts w:hint="eastAsia"/>
          <w:color w:val="000000"/>
          <w:sz w:val="28"/>
          <w:szCs w:val="28"/>
        </w:rPr>
        <w:t>全部专业技术人员中，具有土地规划相关专业背景（包括农学、工程、环境、生态、法律、经济、管理、信息等，下同）的中级以上（含中级）技术职称的人员不少于6人，</w:t>
      </w:r>
      <w:r>
        <w:rPr>
          <w:color w:val="000000"/>
          <w:sz w:val="28"/>
          <w:szCs w:val="28"/>
        </w:rPr>
        <w:t>其中具有高级技术职称的人员不少于</w:t>
      </w:r>
      <w:r>
        <w:rPr>
          <w:rFonts w:hint="eastAsia"/>
          <w:color w:val="000000"/>
          <w:sz w:val="28"/>
          <w:szCs w:val="28"/>
        </w:rPr>
        <w:t>2</w:t>
      </w:r>
      <w:r>
        <w:rPr>
          <w:color w:val="000000"/>
          <w:sz w:val="28"/>
          <w:szCs w:val="28"/>
        </w:rPr>
        <w:t>人；</w:t>
      </w:r>
    </w:p>
    <w:p>
      <w:pPr>
        <w:widowControl/>
        <w:shd w:val="clear" w:color="auto" w:fill="FFFFFF"/>
        <w:spacing w:line="250" w:lineRule="atLeast"/>
        <w:ind w:firstLine="567"/>
        <w:rPr>
          <w:color w:val="000000"/>
          <w:sz w:val="28"/>
          <w:szCs w:val="28"/>
        </w:rPr>
      </w:pPr>
      <w:r>
        <w:rPr>
          <w:color w:val="000000"/>
          <w:sz w:val="28"/>
          <w:szCs w:val="28"/>
        </w:rPr>
        <w:t>（四）有健全的技术、质量、经营、财务等管理制度并得到有效执行；</w:t>
      </w:r>
    </w:p>
    <w:p>
      <w:pPr>
        <w:widowControl/>
        <w:shd w:val="clear" w:color="auto" w:fill="FFFFFF"/>
        <w:spacing w:line="250" w:lineRule="atLeast"/>
        <w:ind w:firstLine="567"/>
        <w:rPr>
          <w:color w:val="000000"/>
          <w:sz w:val="28"/>
          <w:szCs w:val="28"/>
        </w:rPr>
      </w:pPr>
      <w:r>
        <w:rPr>
          <w:color w:val="000000"/>
          <w:sz w:val="28"/>
          <w:szCs w:val="28"/>
        </w:rPr>
        <w:t>（五）有固定的工作场所，人均建筑面积不少于10平方米；</w:t>
      </w:r>
    </w:p>
    <w:p>
      <w:pPr>
        <w:widowControl/>
        <w:shd w:val="clear" w:color="auto" w:fill="FFFFFF"/>
        <w:spacing w:line="250" w:lineRule="atLeast"/>
        <w:ind w:firstLine="567"/>
        <w:rPr>
          <w:color w:val="000000"/>
          <w:sz w:val="28"/>
          <w:szCs w:val="28"/>
        </w:rPr>
      </w:pPr>
      <w:r>
        <w:rPr>
          <w:color w:val="000000"/>
          <w:sz w:val="28"/>
          <w:szCs w:val="28"/>
        </w:rPr>
        <w:t>（</w:t>
      </w:r>
      <w:r>
        <w:rPr>
          <w:rFonts w:hint="eastAsia"/>
          <w:color w:val="000000"/>
          <w:sz w:val="28"/>
          <w:szCs w:val="28"/>
        </w:rPr>
        <w:t>六</w:t>
      </w:r>
      <w:r>
        <w:rPr>
          <w:color w:val="000000"/>
          <w:sz w:val="28"/>
          <w:szCs w:val="28"/>
        </w:rPr>
        <w:t>）达到本实施办法规定要求的技术装备及应用水平考核标准</w:t>
      </w:r>
      <w:r>
        <w:rPr>
          <w:rFonts w:hint="eastAsia"/>
          <w:color w:val="000000"/>
          <w:sz w:val="28"/>
          <w:szCs w:val="28"/>
        </w:rPr>
        <w:t>；</w:t>
      </w:r>
    </w:p>
    <w:p>
      <w:pPr>
        <w:widowControl/>
        <w:shd w:val="clear" w:color="auto" w:fill="FFFFFF"/>
        <w:spacing w:line="250" w:lineRule="atLeast"/>
        <w:ind w:firstLine="567"/>
        <w:rPr>
          <w:color w:val="000000"/>
          <w:sz w:val="28"/>
          <w:szCs w:val="28"/>
        </w:rPr>
      </w:pPr>
      <w:r>
        <w:rPr>
          <w:color w:val="000000"/>
          <w:sz w:val="28"/>
          <w:szCs w:val="28"/>
        </w:rPr>
        <w:t>（</w:t>
      </w:r>
      <w:r>
        <w:rPr>
          <w:rFonts w:hint="eastAsia"/>
          <w:color w:val="000000"/>
          <w:sz w:val="28"/>
          <w:szCs w:val="28"/>
        </w:rPr>
        <w:t>七</w:t>
      </w:r>
      <w:r>
        <w:rPr>
          <w:color w:val="000000"/>
          <w:sz w:val="28"/>
          <w:szCs w:val="28"/>
        </w:rPr>
        <w:t>）</w:t>
      </w:r>
      <w:r>
        <w:rPr>
          <w:rFonts w:hint="eastAsia"/>
          <w:color w:val="000000"/>
          <w:sz w:val="28"/>
          <w:szCs w:val="28"/>
        </w:rPr>
        <w:t>申报时，评选推荐单位规定的其他要求。</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一</w:t>
      </w:r>
      <w:r>
        <w:rPr>
          <w:color w:val="000000"/>
          <w:sz w:val="28"/>
          <w:szCs w:val="28"/>
        </w:rPr>
        <w:t>条申请参加乙级土地规划机构评选推荐的机构，须提交下列材料：</w:t>
      </w:r>
    </w:p>
    <w:p>
      <w:pPr>
        <w:widowControl/>
        <w:shd w:val="clear" w:color="auto" w:fill="FFFFFF"/>
        <w:spacing w:line="250" w:lineRule="atLeast"/>
        <w:ind w:firstLine="567"/>
        <w:rPr>
          <w:color w:val="000000"/>
          <w:sz w:val="28"/>
          <w:szCs w:val="28"/>
        </w:rPr>
      </w:pPr>
      <w:r>
        <w:rPr>
          <w:color w:val="000000"/>
          <w:sz w:val="28"/>
          <w:szCs w:val="28"/>
        </w:rPr>
        <w:t>（一）申请报告；</w:t>
      </w:r>
    </w:p>
    <w:p>
      <w:pPr>
        <w:widowControl/>
        <w:shd w:val="clear" w:color="auto" w:fill="FFFFFF"/>
        <w:spacing w:line="250" w:lineRule="atLeast"/>
        <w:ind w:firstLine="567"/>
        <w:rPr>
          <w:color w:val="000000"/>
          <w:sz w:val="28"/>
          <w:szCs w:val="28"/>
        </w:rPr>
      </w:pPr>
      <w:r>
        <w:rPr>
          <w:color w:val="000000"/>
          <w:sz w:val="28"/>
          <w:szCs w:val="28"/>
        </w:rPr>
        <w:t>（二）土地规划机构登记申请表；</w:t>
      </w:r>
    </w:p>
    <w:p>
      <w:pPr>
        <w:widowControl/>
        <w:shd w:val="clear" w:color="auto" w:fill="FFFFFF"/>
        <w:spacing w:line="250" w:lineRule="atLeast"/>
        <w:ind w:firstLine="567"/>
        <w:rPr>
          <w:color w:val="000000"/>
          <w:sz w:val="28"/>
          <w:szCs w:val="28"/>
        </w:rPr>
      </w:pPr>
      <w:r>
        <w:rPr>
          <w:color w:val="000000"/>
          <w:sz w:val="28"/>
          <w:szCs w:val="28"/>
        </w:rPr>
        <w:t>（</w:t>
      </w:r>
      <w:r>
        <w:rPr>
          <w:rFonts w:hint="eastAsia"/>
          <w:color w:val="000000"/>
          <w:sz w:val="28"/>
          <w:szCs w:val="28"/>
        </w:rPr>
        <w:t>三</w:t>
      </w:r>
      <w:r>
        <w:rPr>
          <w:color w:val="000000"/>
          <w:sz w:val="28"/>
          <w:szCs w:val="28"/>
        </w:rPr>
        <w:t>）土地规划机构高、中级专业技术人员登记表；</w:t>
      </w:r>
    </w:p>
    <w:p>
      <w:pPr>
        <w:widowControl/>
        <w:shd w:val="clear" w:color="auto" w:fill="FFFFFF"/>
        <w:spacing w:line="250" w:lineRule="atLeast"/>
        <w:ind w:firstLine="567"/>
        <w:rPr>
          <w:color w:val="000000"/>
          <w:sz w:val="28"/>
          <w:szCs w:val="28"/>
        </w:rPr>
      </w:pPr>
      <w:r>
        <w:rPr>
          <w:color w:val="000000"/>
          <w:sz w:val="28"/>
          <w:szCs w:val="28"/>
        </w:rPr>
        <w:t>（</w:t>
      </w:r>
      <w:r>
        <w:rPr>
          <w:rFonts w:hint="eastAsia"/>
          <w:color w:val="000000"/>
          <w:sz w:val="28"/>
          <w:szCs w:val="28"/>
        </w:rPr>
        <w:t>四</w:t>
      </w:r>
      <w:r>
        <w:rPr>
          <w:color w:val="000000"/>
          <w:sz w:val="28"/>
          <w:szCs w:val="28"/>
        </w:rPr>
        <w:t>）其他相关材料：</w:t>
      </w:r>
    </w:p>
    <w:p>
      <w:pPr>
        <w:widowControl/>
        <w:shd w:val="clear" w:color="auto" w:fill="FFFFFF"/>
        <w:spacing w:line="250" w:lineRule="atLeast"/>
        <w:ind w:firstLine="280"/>
        <w:rPr>
          <w:color w:val="000000"/>
          <w:sz w:val="28"/>
          <w:szCs w:val="28"/>
        </w:rPr>
      </w:pPr>
      <w:r>
        <w:rPr>
          <w:color w:val="000000"/>
          <w:sz w:val="28"/>
          <w:szCs w:val="28"/>
        </w:rPr>
        <w:t>　1．法人证明材料或企业法人营业执照；</w:t>
      </w:r>
    </w:p>
    <w:p>
      <w:pPr>
        <w:widowControl/>
        <w:shd w:val="clear" w:color="auto" w:fill="FFFFFF"/>
        <w:spacing w:line="250" w:lineRule="atLeast"/>
        <w:ind w:firstLine="280"/>
        <w:rPr>
          <w:color w:val="000000"/>
          <w:sz w:val="28"/>
          <w:szCs w:val="28"/>
        </w:rPr>
      </w:pPr>
      <w:r>
        <w:rPr>
          <w:color w:val="000000"/>
          <w:sz w:val="28"/>
          <w:szCs w:val="28"/>
        </w:rPr>
        <w:t>　2．高、中级专业技术人员资格证书、毕业证书、身份证；</w:t>
      </w:r>
    </w:p>
    <w:p>
      <w:pPr>
        <w:widowControl/>
        <w:shd w:val="clear" w:color="auto" w:fill="FFFFFF"/>
        <w:spacing w:line="250" w:lineRule="atLeast"/>
        <w:ind w:firstLine="280"/>
        <w:rPr>
          <w:color w:val="000000"/>
          <w:sz w:val="28"/>
          <w:szCs w:val="28"/>
        </w:rPr>
      </w:pPr>
      <w:r>
        <w:rPr>
          <w:color w:val="000000"/>
          <w:sz w:val="28"/>
          <w:szCs w:val="28"/>
        </w:rPr>
        <w:t>　3．技术装备及应用水平证明材料；</w:t>
      </w:r>
    </w:p>
    <w:p>
      <w:pPr>
        <w:widowControl/>
        <w:shd w:val="clear" w:color="auto" w:fill="FFFFFF"/>
        <w:spacing w:line="250" w:lineRule="atLeast"/>
        <w:ind w:firstLine="280"/>
        <w:rPr>
          <w:color w:val="000000"/>
          <w:sz w:val="28"/>
          <w:szCs w:val="28"/>
        </w:rPr>
      </w:pPr>
      <w:r>
        <w:rPr>
          <w:color w:val="000000"/>
          <w:sz w:val="28"/>
          <w:szCs w:val="28"/>
        </w:rPr>
        <w:t> 4．办公场所土地使用证、房屋产权证或租赁协议；</w:t>
      </w:r>
    </w:p>
    <w:p>
      <w:pPr>
        <w:widowControl/>
        <w:shd w:val="clear" w:color="auto" w:fill="FFFFFF"/>
        <w:spacing w:line="250" w:lineRule="atLeast"/>
        <w:ind w:firstLine="280"/>
        <w:rPr>
          <w:color w:val="000000"/>
          <w:sz w:val="28"/>
          <w:szCs w:val="28"/>
        </w:rPr>
      </w:pPr>
      <w:r>
        <w:rPr>
          <w:color w:val="000000"/>
          <w:sz w:val="28"/>
          <w:szCs w:val="28"/>
        </w:rPr>
        <w:t> 5. 能反映本机构业绩的成果材料。</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二</w:t>
      </w:r>
      <w:r>
        <w:rPr>
          <w:color w:val="000000"/>
          <w:sz w:val="28"/>
          <w:szCs w:val="28"/>
        </w:rPr>
        <w:t>条申请</w:t>
      </w:r>
      <w:r>
        <w:rPr>
          <w:rFonts w:hint="eastAsia"/>
          <w:color w:val="000000"/>
          <w:sz w:val="28"/>
          <w:szCs w:val="28"/>
        </w:rPr>
        <w:t>评选推荐</w:t>
      </w:r>
      <w:r>
        <w:rPr>
          <w:color w:val="000000"/>
          <w:sz w:val="28"/>
          <w:szCs w:val="28"/>
        </w:rPr>
        <w:t>土地规划乙级机构，按下列程序办理：</w:t>
      </w:r>
    </w:p>
    <w:p>
      <w:pPr>
        <w:widowControl/>
        <w:shd w:val="clear" w:color="auto" w:fill="FFFFFF"/>
        <w:spacing w:line="250" w:lineRule="atLeast"/>
        <w:ind w:firstLine="280"/>
        <w:rPr>
          <w:color w:val="000000"/>
          <w:sz w:val="28"/>
          <w:szCs w:val="28"/>
        </w:rPr>
      </w:pPr>
      <w:r>
        <w:rPr>
          <w:color w:val="000000"/>
          <w:sz w:val="28"/>
          <w:szCs w:val="28"/>
        </w:rPr>
        <w:t>　（一）申请。具备本办法第十条登记条件的单位，持本办法第十</w:t>
      </w:r>
      <w:r>
        <w:rPr>
          <w:rFonts w:hint="eastAsia"/>
          <w:color w:val="000000"/>
          <w:sz w:val="28"/>
          <w:szCs w:val="28"/>
        </w:rPr>
        <w:t>一</w:t>
      </w:r>
      <w:r>
        <w:rPr>
          <w:color w:val="000000"/>
          <w:sz w:val="28"/>
          <w:szCs w:val="28"/>
        </w:rPr>
        <w:t>条规定所应提交的材料，向海南省土地学会提出</w:t>
      </w:r>
      <w:r>
        <w:rPr>
          <w:rFonts w:hint="eastAsia"/>
          <w:color w:val="000000"/>
          <w:sz w:val="28"/>
          <w:szCs w:val="28"/>
        </w:rPr>
        <w:t>评选推荐</w:t>
      </w:r>
      <w:r>
        <w:rPr>
          <w:color w:val="000000"/>
          <w:sz w:val="28"/>
          <w:szCs w:val="28"/>
        </w:rPr>
        <w:t>申请。海南省土地学会自受理申请之日起30日内审核申报材料，确定是否</w:t>
      </w:r>
      <w:r>
        <w:rPr>
          <w:rFonts w:hint="eastAsia"/>
          <w:color w:val="000000"/>
          <w:sz w:val="28"/>
          <w:szCs w:val="28"/>
        </w:rPr>
        <w:t>予以评选推荐</w:t>
      </w:r>
      <w:r>
        <w:rPr>
          <w:color w:val="000000"/>
          <w:sz w:val="28"/>
          <w:szCs w:val="28"/>
        </w:rPr>
        <w:t>。</w:t>
      </w:r>
    </w:p>
    <w:p>
      <w:pPr>
        <w:widowControl/>
        <w:shd w:val="clear" w:color="auto" w:fill="FFFFFF"/>
        <w:spacing w:line="250" w:lineRule="atLeast"/>
        <w:ind w:firstLine="280"/>
        <w:rPr>
          <w:color w:val="000000"/>
          <w:sz w:val="28"/>
          <w:szCs w:val="28"/>
        </w:rPr>
      </w:pPr>
      <w:r>
        <w:rPr>
          <w:color w:val="000000"/>
          <w:sz w:val="28"/>
          <w:szCs w:val="28"/>
        </w:rPr>
        <w:t>　（二）受理。对符合本《办法》第十条规定基本条件的，海南省土地学会应予</w:t>
      </w:r>
      <w:r>
        <w:rPr>
          <w:rFonts w:hint="eastAsia"/>
          <w:color w:val="000000"/>
          <w:sz w:val="28"/>
          <w:szCs w:val="28"/>
        </w:rPr>
        <w:t>以</w:t>
      </w:r>
      <w:r>
        <w:rPr>
          <w:color w:val="000000"/>
          <w:sz w:val="28"/>
          <w:szCs w:val="28"/>
        </w:rPr>
        <w:t>受理。</w:t>
      </w:r>
    </w:p>
    <w:p>
      <w:pPr>
        <w:widowControl/>
        <w:shd w:val="clear" w:color="auto" w:fill="FFFFFF"/>
        <w:spacing w:line="250" w:lineRule="atLeast"/>
        <w:ind w:firstLine="280"/>
        <w:rPr>
          <w:color w:val="000000"/>
          <w:sz w:val="28"/>
          <w:szCs w:val="28"/>
        </w:rPr>
      </w:pPr>
      <w:r>
        <w:rPr>
          <w:color w:val="000000"/>
          <w:sz w:val="28"/>
          <w:szCs w:val="28"/>
        </w:rPr>
        <w:t>　（三）初审。海南省土地学会对申报单位提交的材料进行初审，</w:t>
      </w:r>
      <w:r>
        <w:rPr>
          <w:rFonts w:hint="eastAsia"/>
          <w:color w:val="000000"/>
          <w:sz w:val="28"/>
          <w:szCs w:val="28"/>
        </w:rPr>
        <w:t>即合格性审查，</w:t>
      </w:r>
      <w:r>
        <w:rPr>
          <w:color w:val="000000"/>
          <w:sz w:val="28"/>
          <w:szCs w:val="28"/>
        </w:rPr>
        <w:t>并提出初审意见。</w:t>
      </w:r>
    </w:p>
    <w:p>
      <w:pPr>
        <w:widowControl/>
        <w:shd w:val="clear" w:color="auto" w:fill="FFFFFF"/>
        <w:spacing w:line="250" w:lineRule="atLeast"/>
        <w:ind w:firstLine="560" w:firstLineChars="200"/>
        <w:rPr>
          <w:color w:val="000000"/>
          <w:sz w:val="28"/>
          <w:szCs w:val="28"/>
        </w:rPr>
      </w:pPr>
      <w:r>
        <w:rPr>
          <w:color w:val="000000"/>
          <w:sz w:val="28"/>
          <w:szCs w:val="28"/>
        </w:rPr>
        <w:t>（四）评审。海南省土地学会组成评选推荐工作专家组，对初审意见进行评审</w:t>
      </w:r>
      <w:r>
        <w:rPr>
          <w:rFonts w:hint="eastAsia"/>
          <w:color w:val="000000"/>
          <w:sz w:val="28"/>
          <w:szCs w:val="28"/>
        </w:rPr>
        <w:t>。</w:t>
      </w:r>
      <w:r>
        <w:rPr>
          <w:color w:val="000000"/>
          <w:sz w:val="28"/>
          <w:szCs w:val="28"/>
        </w:rPr>
        <w:t>海南省土地学会成立评选推荐工作办公室具体负责受理的相关事宜</w:t>
      </w:r>
      <w:r>
        <w:rPr>
          <w:rFonts w:hint="eastAsia"/>
          <w:color w:val="000000"/>
          <w:sz w:val="28"/>
          <w:szCs w:val="28"/>
        </w:rPr>
        <w:t>，并建立机构评选专家库，专家库成员由行业内知名专家组成</w:t>
      </w:r>
      <w:r>
        <w:rPr>
          <w:color w:val="000000"/>
          <w:sz w:val="28"/>
          <w:szCs w:val="28"/>
        </w:rPr>
        <w:t>。经专家组评审认为符合条件的，在有关媒体上进行</w:t>
      </w:r>
      <w:r>
        <w:rPr>
          <w:rFonts w:hint="eastAsia"/>
          <w:color w:val="000000"/>
          <w:sz w:val="28"/>
          <w:szCs w:val="28"/>
        </w:rPr>
        <w:t>1</w:t>
      </w:r>
      <w:r>
        <w:rPr>
          <w:color w:val="000000"/>
          <w:sz w:val="28"/>
          <w:szCs w:val="28"/>
        </w:rPr>
        <w:t>0天公示。</w:t>
      </w:r>
    </w:p>
    <w:p>
      <w:pPr>
        <w:widowControl/>
        <w:shd w:val="clear" w:color="auto" w:fill="FFFFFF"/>
        <w:spacing w:line="250" w:lineRule="atLeast"/>
        <w:ind w:firstLine="560" w:firstLineChars="200"/>
        <w:rPr>
          <w:color w:val="000000"/>
          <w:sz w:val="28"/>
          <w:szCs w:val="28"/>
        </w:rPr>
      </w:pPr>
      <w:r>
        <w:rPr>
          <w:color w:val="000000"/>
          <w:sz w:val="28"/>
          <w:szCs w:val="28"/>
        </w:rPr>
        <w:t>（五）公布。</w:t>
      </w:r>
      <w:r>
        <w:rPr>
          <w:rFonts w:hint="eastAsia"/>
          <w:color w:val="000000"/>
          <w:sz w:val="28"/>
          <w:szCs w:val="28"/>
        </w:rPr>
        <w:t>海南省土地学会在网站或媒体上公布通过评审的土地规划机构名单。</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三</w:t>
      </w:r>
      <w:r>
        <w:rPr>
          <w:color w:val="000000"/>
          <w:sz w:val="28"/>
          <w:szCs w:val="28"/>
        </w:rPr>
        <w:t>条　获准</w:t>
      </w:r>
      <w:r>
        <w:rPr>
          <w:rFonts w:hint="eastAsia"/>
          <w:color w:val="000000"/>
          <w:sz w:val="28"/>
          <w:szCs w:val="28"/>
        </w:rPr>
        <w:t>评选</w:t>
      </w:r>
      <w:r>
        <w:rPr>
          <w:color w:val="000000"/>
          <w:sz w:val="28"/>
          <w:szCs w:val="28"/>
        </w:rPr>
        <w:t>的土地规划机构</w:t>
      </w:r>
      <w:r>
        <w:rPr>
          <w:rFonts w:hint="eastAsia"/>
          <w:color w:val="000000"/>
          <w:sz w:val="28"/>
          <w:szCs w:val="28"/>
        </w:rPr>
        <w:t>经</w:t>
      </w:r>
      <w:r>
        <w:rPr>
          <w:color w:val="000000"/>
          <w:sz w:val="28"/>
          <w:szCs w:val="28"/>
        </w:rPr>
        <w:t>公</w:t>
      </w:r>
      <w:r>
        <w:rPr>
          <w:rFonts w:hint="eastAsia"/>
          <w:color w:val="000000"/>
          <w:sz w:val="28"/>
          <w:szCs w:val="28"/>
        </w:rPr>
        <w:t>示无异议后</w:t>
      </w:r>
      <w:r>
        <w:rPr>
          <w:color w:val="000000"/>
          <w:sz w:val="28"/>
          <w:szCs w:val="28"/>
        </w:rPr>
        <w:t>，由海南省土地学会颁发土地规划机构</w:t>
      </w:r>
      <w:r>
        <w:rPr>
          <w:rFonts w:hint="eastAsia"/>
          <w:color w:val="000000"/>
          <w:sz w:val="28"/>
          <w:szCs w:val="28"/>
        </w:rPr>
        <w:t>乙</w:t>
      </w:r>
      <w:r>
        <w:rPr>
          <w:color w:val="000000"/>
          <w:sz w:val="28"/>
          <w:szCs w:val="28"/>
        </w:rPr>
        <w:t>级</w:t>
      </w:r>
      <w:r>
        <w:rPr>
          <w:rFonts w:hint="eastAsia"/>
          <w:color w:val="000000"/>
          <w:sz w:val="28"/>
          <w:szCs w:val="28"/>
        </w:rPr>
        <w:t>资质</w:t>
      </w:r>
      <w:r>
        <w:rPr>
          <w:color w:val="000000"/>
          <w:sz w:val="28"/>
          <w:szCs w:val="28"/>
        </w:rPr>
        <w:t>证书。</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四</w:t>
      </w:r>
      <w:r>
        <w:rPr>
          <w:color w:val="000000"/>
          <w:sz w:val="28"/>
          <w:szCs w:val="28"/>
        </w:rPr>
        <w:t>条　</w:t>
      </w:r>
      <w:r>
        <w:rPr>
          <w:rFonts w:hint="eastAsia"/>
          <w:color w:val="000000"/>
          <w:sz w:val="28"/>
          <w:szCs w:val="28"/>
        </w:rPr>
        <w:t>纳入海南省土地学会</w:t>
      </w:r>
      <w:r>
        <w:rPr>
          <w:color w:val="000000"/>
          <w:sz w:val="28"/>
          <w:szCs w:val="28"/>
        </w:rPr>
        <w:t>土地规划</w:t>
      </w:r>
      <w:r>
        <w:rPr>
          <w:rFonts w:hint="eastAsia"/>
          <w:color w:val="000000"/>
          <w:sz w:val="28"/>
          <w:szCs w:val="28"/>
        </w:rPr>
        <w:t>评选推荐名录的</w:t>
      </w:r>
      <w:r>
        <w:rPr>
          <w:color w:val="000000"/>
          <w:sz w:val="28"/>
          <w:szCs w:val="28"/>
        </w:rPr>
        <w:t>机构</w:t>
      </w:r>
      <w:r>
        <w:rPr>
          <w:rFonts w:hint="eastAsia"/>
          <w:color w:val="000000"/>
          <w:sz w:val="28"/>
          <w:szCs w:val="28"/>
        </w:rPr>
        <w:t>，若</w:t>
      </w:r>
      <w:r>
        <w:rPr>
          <w:color w:val="000000"/>
          <w:sz w:val="28"/>
          <w:szCs w:val="28"/>
        </w:rPr>
        <w:t>机构名称、地址、法定代表人、注册资金发生变更的，需在变更发生30日内持相关文件，到海南省土地学会办理变更登记手续。土地规划机构合并或分立，必须重新申请</w:t>
      </w:r>
      <w:r>
        <w:rPr>
          <w:rFonts w:hint="eastAsia"/>
          <w:color w:val="000000"/>
          <w:sz w:val="28"/>
          <w:szCs w:val="28"/>
        </w:rPr>
        <w:t>评选推荐</w:t>
      </w:r>
      <w:r>
        <w:rPr>
          <w:color w:val="000000"/>
          <w:sz w:val="28"/>
          <w:szCs w:val="28"/>
        </w:rPr>
        <w:t>；土地规划机构撤销，必须及时办理注销手续。</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五</w:t>
      </w:r>
      <w:r>
        <w:rPr>
          <w:color w:val="000000"/>
          <w:sz w:val="28"/>
          <w:szCs w:val="28"/>
        </w:rPr>
        <w:t>条土地规划机构的从业人员不得</w:t>
      </w:r>
      <w:r>
        <w:rPr>
          <w:rFonts w:hint="eastAsia"/>
          <w:color w:val="000000"/>
          <w:sz w:val="28"/>
          <w:szCs w:val="28"/>
        </w:rPr>
        <w:t>同时</w:t>
      </w:r>
      <w:r>
        <w:rPr>
          <w:color w:val="000000"/>
          <w:sz w:val="28"/>
          <w:szCs w:val="28"/>
        </w:rPr>
        <w:t>在两家以上（含两家）的土地规划机构从业。</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六</w:t>
      </w:r>
      <w:r>
        <w:rPr>
          <w:color w:val="000000"/>
          <w:sz w:val="28"/>
          <w:szCs w:val="28"/>
        </w:rPr>
        <w:t>条  乙级土地规划机构执业满</w:t>
      </w:r>
      <w:r>
        <w:rPr>
          <w:rFonts w:hint="eastAsia"/>
          <w:color w:val="000000"/>
          <w:sz w:val="28"/>
          <w:szCs w:val="28"/>
        </w:rPr>
        <w:t>4</w:t>
      </w:r>
      <w:r>
        <w:rPr>
          <w:color w:val="000000"/>
          <w:sz w:val="28"/>
          <w:szCs w:val="28"/>
        </w:rPr>
        <w:t>年，并符合甲级机构标准及相关规定的，</w:t>
      </w:r>
      <w:r>
        <w:rPr>
          <w:rFonts w:hint="eastAsia"/>
          <w:color w:val="000000"/>
          <w:sz w:val="28"/>
          <w:szCs w:val="28"/>
        </w:rPr>
        <w:t>经海南省土地学会审核后，</w:t>
      </w:r>
      <w:r>
        <w:rPr>
          <w:color w:val="000000"/>
          <w:sz w:val="28"/>
          <w:szCs w:val="28"/>
        </w:rPr>
        <w:t>可直接向中国土地学会申</w:t>
      </w:r>
      <w:r>
        <w:rPr>
          <w:rFonts w:hint="eastAsia"/>
          <w:color w:val="000000"/>
          <w:sz w:val="28"/>
          <w:szCs w:val="28"/>
        </w:rPr>
        <w:t>报</w:t>
      </w:r>
      <w:r>
        <w:rPr>
          <w:color w:val="000000"/>
          <w:sz w:val="28"/>
          <w:szCs w:val="28"/>
        </w:rPr>
        <w:t>甲级机构</w:t>
      </w:r>
      <w:r>
        <w:rPr>
          <w:rFonts w:hint="eastAsia"/>
          <w:color w:val="000000"/>
          <w:sz w:val="28"/>
          <w:szCs w:val="28"/>
        </w:rPr>
        <w:t>评选</w:t>
      </w:r>
      <w:r>
        <w:rPr>
          <w:color w:val="000000"/>
          <w:sz w:val="28"/>
          <w:szCs w:val="28"/>
        </w:rPr>
        <w:t>。海南省土地学会根据中国土地学会的要求，对申请甲级土地规划机构的提出升级意见。</w:t>
      </w:r>
    </w:p>
    <w:p>
      <w:pPr>
        <w:widowControl/>
        <w:shd w:val="clear" w:color="auto" w:fill="FFFFFF"/>
        <w:spacing w:line="250" w:lineRule="atLeast"/>
        <w:ind w:firstLine="280"/>
        <w:rPr>
          <w:rFonts w:ascii="黑体" w:eastAsia="黑体"/>
          <w:color w:val="000000"/>
          <w:sz w:val="30"/>
          <w:szCs w:val="30"/>
        </w:rPr>
      </w:pPr>
      <w:r>
        <w:rPr>
          <w:color w:val="000000"/>
          <w:sz w:val="28"/>
          <w:szCs w:val="28"/>
        </w:rPr>
        <w:t> </w:t>
      </w:r>
      <w:r>
        <w:rPr>
          <w:rFonts w:ascii="黑体" w:eastAsia="黑体"/>
          <w:color w:val="000000"/>
          <w:sz w:val="30"/>
          <w:szCs w:val="30"/>
        </w:rPr>
        <w:t>第三章  继续教育培训</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七</w:t>
      </w:r>
      <w:r>
        <w:rPr>
          <w:color w:val="000000"/>
          <w:sz w:val="28"/>
          <w:szCs w:val="28"/>
        </w:rPr>
        <w:t>条  为提高土地规划机构从业人员的专业素质和职业道德水平，确保执业质量和社会公信力，土地规划机构从业人员</w:t>
      </w:r>
      <w:r>
        <w:rPr>
          <w:rFonts w:hint="eastAsia"/>
          <w:color w:val="000000"/>
          <w:sz w:val="28"/>
          <w:szCs w:val="28"/>
        </w:rPr>
        <w:t>有义务</w:t>
      </w:r>
      <w:r>
        <w:rPr>
          <w:color w:val="000000"/>
          <w:sz w:val="28"/>
          <w:szCs w:val="28"/>
        </w:rPr>
        <w:t>按照本办法的要求参加继续教育。</w:t>
      </w:r>
    </w:p>
    <w:p>
      <w:pPr>
        <w:widowControl/>
        <w:shd w:val="clear" w:color="auto" w:fill="FFFFFF"/>
        <w:spacing w:line="250" w:lineRule="atLeast"/>
        <w:ind w:firstLine="567"/>
        <w:rPr>
          <w:color w:val="000000"/>
          <w:sz w:val="28"/>
          <w:szCs w:val="28"/>
        </w:rPr>
      </w:pPr>
      <w:r>
        <w:rPr>
          <w:color w:val="000000"/>
          <w:sz w:val="28"/>
          <w:szCs w:val="28"/>
        </w:rPr>
        <w:t>第十</w:t>
      </w:r>
      <w:r>
        <w:rPr>
          <w:rFonts w:hint="eastAsia"/>
          <w:color w:val="000000"/>
          <w:sz w:val="28"/>
          <w:szCs w:val="28"/>
        </w:rPr>
        <w:t>八</w:t>
      </w:r>
      <w:r>
        <w:rPr>
          <w:color w:val="000000"/>
          <w:sz w:val="28"/>
          <w:szCs w:val="28"/>
        </w:rPr>
        <w:t>条  土地规划机构从业人员继续教育，由海南省土地学会负责。</w:t>
      </w:r>
      <w:r>
        <w:rPr>
          <w:rFonts w:hint="eastAsia"/>
          <w:color w:val="000000"/>
          <w:sz w:val="28"/>
          <w:szCs w:val="28"/>
        </w:rPr>
        <w:t>机构专业技术人员参加</w:t>
      </w:r>
      <w:r>
        <w:rPr>
          <w:color w:val="000000"/>
          <w:sz w:val="28"/>
          <w:szCs w:val="28"/>
        </w:rPr>
        <w:t>继续教育</w:t>
      </w:r>
      <w:r>
        <w:rPr>
          <w:rFonts w:hint="eastAsia"/>
          <w:color w:val="000000"/>
          <w:sz w:val="28"/>
          <w:szCs w:val="28"/>
        </w:rPr>
        <w:t>的比例应不低于60%。</w:t>
      </w:r>
      <w:r>
        <w:rPr>
          <w:color w:val="000000"/>
          <w:sz w:val="28"/>
          <w:szCs w:val="28"/>
        </w:rPr>
        <w:t>继续教育的形式有：举办培训班</w:t>
      </w:r>
      <w:r>
        <w:rPr>
          <w:rFonts w:hint="eastAsia"/>
          <w:color w:val="000000"/>
          <w:sz w:val="28"/>
          <w:szCs w:val="28"/>
        </w:rPr>
        <w:t>，邀</w:t>
      </w:r>
      <w:r>
        <w:rPr>
          <w:color w:val="000000"/>
          <w:sz w:val="28"/>
          <w:szCs w:val="28"/>
        </w:rPr>
        <w:t>请</w:t>
      </w:r>
      <w:r>
        <w:rPr>
          <w:rFonts w:hint="eastAsia"/>
          <w:color w:val="000000"/>
          <w:sz w:val="28"/>
          <w:szCs w:val="28"/>
        </w:rPr>
        <w:t>相关专业</w:t>
      </w:r>
      <w:r>
        <w:rPr>
          <w:color w:val="000000"/>
          <w:sz w:val="28"/>
          <w:szCs w:val="28"/>
        </w:rPr>
        <w:t>专家授课；机构人员从业经验交流，优秀土地规划成果展览观摩；组织有关人员到</w:t>
      </w:r>
      <w:r>
        <w:rPr>
          <w:rFonts w:hint="eastAsia"/>
          <w:color w:val="000000"/>
          <w:sz w:val="28"/>
          <w:szCs w:val="28"/>
        </w:rPr>
        <w:t>省</w:t>
      </w:r>
      <w:r>
        <w:rPr>
          <w:color w:val="000000"/>
          <w:sz w:val="28"/>
          <w:szCs w:val="28"/>
        </w:rPr>
        <w:t>内外</w:t>
      </w:r>
      <w:r>
        <w:rPr>
          <w:rFonts w:hint="eastAsia"/>
          <w:color w:val="000000"/>
          <w:sz w:val="28"/>
          <w:szCs w:val="28"/>
        </w:rPr>
        <w:t>交流</w:t>
      </w:r>
      <w:r>
        <w:rPr>
          <w:color w:val="000000"/>
          <w:sz w:val="28"/>
          <w:szCs w:val="28"/>
        </w:rPr>
        <w:t>学习等。</w:t>
      </w:r>
    </w:p>
    <w:p>
      <w:pPr>
        <w:widowControl/>
        <w:shd w:val="clear" w:color="auto" w:fill="FFFFFF"/>
        <w:spacing w:line="250" w:lineRule="atLeast"/>
        <w:ind w:firstLine="567"/>
        <w:rPr>
          <w:color w:val="000000"/>
          <w:sz w:val="28"/>
          <w:szCs w:val="28"/>
        </w:rPr>
      </w:pPr>
      <w:r>
        <w:rPr>
          <w:color w:val="000000"/>
          <w:sz w:val="28"/>
          <w:szCs w:val="28"/>
        </w:rPr>
        <w:t>第</w:t>
      </w:r>
      <w:r>
        <w:rPr>
          <w:rFonts w:hint="eastAsia"/>
          <w:color w:val="000000"/>
          <w:sz w:val="28"/>
          <w:szCs w:val="28"/>
        </w:rPr>
        <w:t>十九</w:t>
      </w:r>
      <w:r>
        <w:rPr>
          <w:color w:val="000000"/>
          <w:sz w:val="28"/>
          <w:szCs w:val="28"/>
        </w:rPr>
        <w:t>条  海南省土地学会统一印制《土地规划从业人员继续教育培训证书》，作为参加继续教育的凭证。土地规划机构非注册人员和非土地规划机构人员参加培训的，发给《培训结业证书》。 </w:t>
      </w:r>
    </w:p>
    <w:p>
      <w:pPr>
        <w:widowControl/>
        <w:shd w:val="clear" w:color="auto" w:fill="FFFFFF"/>
        <w:spacing w:line="250" w:lineRule="atLeast"/>
        <w:ind w:firstLine="600" w:firstLineChars="200"/>
        <w:rPr>
          <w:rFonts w:ascii="黑体" w:eastAsia="黑体"/>
          <w:color w:val="000000"/>
          <w:sz w:val="30"/>
          <w:szCs w:val="30"/>
        </w:rPr>
      </w:pPr>
      <w:r>
        <w:rPr>
          <w:rFonts w:ascii="黑体" w:eastAsia="黑体"/>
          <w:color w:val="000000"/>
          <w:sz w:val="30"/>
          <w:szCs w:val="30"/>
        </w:rPr>
        <w:t>第四章  延续与变更</w:t>
      </w:r>
    </w:p>
    <w:p>
      <w:pPr>
        <w:widowControl/>
        <w:shd w:val="clear" w:color="auto" w:fill="FFFFFF"/>
        <w:spacing w:line="250" w:lineRule="atLeast"/>
        <w:ind w:firstLine="560" w:firstLineChars="200"/>
        <w:rPr>
          <w:color w:val="000000"/>
          <w:sz w:val="28"/>
          <w:szCs w:val="28"/>
        </w:rPr>
      </w:pPr>
      <w:r>
        <w:rPr>
          <w:color w:val="000000"/>
          <w:sz w:val="28"/>
          <w:szCs w:val="28"/>
        </w:rPr>
        <w:t>第二十条　</w:t>
      </w:r>
      <w:r>
        <w:rPr>
          <w:rFonts w:hint="eastAsia"/>
          <w:color w:val="000000"/>
          <w:sz w:val="28"/>
          <w:szCs w:val="28"/>
        </w:rPr>
        <w:t>海南省</w:t>
      </w:r>
      <w:r>
        <w:rPr>
          <w:color w:val="000000"/>
          <w:sz w:val="28"/>
          <w:szCs w:val="28"/>
        </w:rPr>
        <w:t>土地规划乙级机构推荐名录（土地规划资格证书）每 2 年开展一次审查延续工作。规划机构需在每年3月底前报送上一年度业绩报告，并附业务合同书、项目审批文件等资料作为审查延续时的业绩依据。土地规划资格证书有效期届满需继续从业的，应当在有效期届满前30日内向</w:t>
      </w:r>
      <w:r>
        <w:rPr>
          <w:rFonts w:hint="eastAsia"/>
          <w:color w:val="000000"/>
          <w:sz w:val="28"/>
          <w:szCs w:val="28"/>
        </w:rPr>
        <w:t>海南</w:t>
      </w:r>
      <w:r>
        <w:rPr>
          <w:color w:val="000000"/>
          <w:sz w:val="28"/>
          <w:szCs w:val="28"/>
        </w:rPr>
        <w:t>省土地学会提出资格证书延续申请，经审查认定后加入推荐名录，颁发资格证书。土地规划机构无正当理由不参加审查延续的，视为弃权。12月为资格延续认定申请时间（甲级土地规划机构年检按中国土地学会要求进行）。各乙级土地规划机构应在</w:t>
      </w:r>
      <w:r>
        <w:rPr>
          <w:rFonts w:hint="eastAsia"/>
          <w:color w:val="000000"/>
          <w:sz w:val="28"/>
          <w:szCs w:val="28"/>
        </w:rPr>
        <w:t>年检当年</w:t>
      </w:r>
      <w:r>
        <w:rPr>
          <w:color w:val="000000"/>
          <w:sz w:val="28"/>
          <w:szCs w:val="28"/>
        </w:rPr>
        <w:t>12月15日前提交资格延续认定申请要件：</w:t>
      </w:r>
    </w:p>
    <w:p>
      <w:pPr>
        <w:widowControl/>
        <w:shd w:val="clear" w:color="auto" w:fill="FFFFFF"/>
        <w:spacing w:line="250" w:lineRule="atLeast"/>
        <w:ind w:firstLine="280"/>
        <w:rPr>
          <w:color w:val="000000"/>
          <w:sz w:val="28"/>
          <w:szCs w:val="28"/>
        </w:rPr>
      </w:pPr>
      <w:r>
        <w:rPr>
          <w:color w:val="000000"/>
          <w:sz w:val="28"/>
          <w:szCs w:val="28"/>
        </w:rPr>
        <w:t>　（一）申请报告；</w:t>
      </w:r>
    </w:p>
    <w:p>
      <w:pPr>
        <w:widowControl/>
        <w:shd w:val="clear" w:color="auto" w:fill="FFFFFF"/>
        <w:spacing w:line="250" w:lineRule="atLeast"/>
        <w:ind w:firstLine="280"/>
        <w:rPr>
          <w:color w:val="000000"/>
          <w:sz w:val="28"/>
          <w:szCs w:val="28"/>
        </w:rPr>
      </w:pPr>
      <w:r>
        <w:rPr>
          <w:color w:val="000000"/>
          <w:sz w:val="28"/>
          <w:szCs w:val="28"/>
        </w:rPr>
        <w:t>　（二）申请表；</w:t>
      </w:r>
    </w:p>
    <w:p>
      <w:pPr>
        <w:widowControl/>
        <w:shd w:val="clear" w:color="auto" w:fill="FFFFFF"/>
        <w:spacing w:line="250" w:lineRule="atLeast"/>
        <w:ind w:firstLine="280"/>
        <w:rPr>
          <w:color w:val="000000"/>
          <w:sz w:val="28"/>
          <w:szCs w:val="28"/>
        </w:rPr>
      </w:pPr>
      <w:r>
        <w:rPr>
          <w:color w:val="000000"/>
          <w:sz w:val="28"/>
          <w:szCs w:val="28"/>
        </w:rPr>
        <w:t>　（三）高、中级专业技术人员及从业人员变更登记表；</w:t>
      </w:r>
    </w:p>
    <w:p>
      <w:pPr>
        <w:widowControl/>
        <w:shd w:val="clear" w:color="auto" w:fill="FFFFFF"/>
        <w:spacing w:line="250" w:lineRule="atLeast"/>
        <w:ind w:firstLine="560" w:firstLineChars="200"/>
        <w:rPr>
          <w:color w:val="000000"/>
          <w:sz w:val="28"/>
          <w:szCs w:val="28"/>
        </w:rPr>
      </w:pPr>
      <w:r>
        <w:rPr>
          <w:color w:val="000000"/>
          <w:sz w:val="28"/>
          <w:szCs w:val="28"/>
        </w:rPr>
        <w:t>（四）土地规划机构年度工作总结及年度业绩项目清单；</w:t>
      </w:r>
    </w:p>
    <w:p>
      <w:pPr>
        <w:widowControl/>
        <w:shd w:val="clear" w:color="auto" w:fill="FFFFFF"/>
        <w:spacing w:line="250" w:lineRule="atLeast"/>
        <w:ind w:firstLine="560" w:firstLineChars="200"/>
        <w:rPr>
          <w:color w:val="000000"/>
          <w:sz w:val="28"/>
          <w:szCs w:val="28"/>
        </w:rPr>
      </w:pPr>
      <w:r>
        <w:rPr>
          <w:color w:val="000000"/>
          <w:sz w:val="28"/>
          <w:szCs w:val="28"/>
        </w:rPr>
        <w:t>（五）从业人员参加年度继续教育培训情况；</w:t>
      </w:r>
    </w:p>
    <w:p>
      <w:pPr>
        <w:widowControl/>
        <w:shd w:val="clear" w:color="auto" w:fill="FFFFFF"/>
        <w:spacing w:line="250" w:lineRule="atLeast"/>
        <w:ind w:firstLine="280"/>
        <w:rPr>
          <w:color w:val="000000"/>
          <w:sz w:val="28"/>
          <w:szCs w:val="28"/>
        </w:rPr>
      </w:pPr>
      <w:r>
        <w:rPr>
          <w:color w:val="000000"/>
          <w:sz w:val="28"/>
          <w:szCs w:val="28"/>
        </w:rPr>
        <w:t>　（六）通知规定的其他材料。</w:t>
      </w:r>
    </w:p>
    <w:p>
      <w:pPr>
        <w:widowControl/>
        <w:shd w:val="clear" w:color="auto" w:fill="FFFFFF"/>
        <w:spacing w:line="250" w:lineRule="atLeast"/>
        <w:ind w:firstLine="560" w:firstLineChars="200"/>
        <w:rPr>
          <w:color w:val="000000"/>
          <w:sz w:val="28"/>
          <w:szCs w:val="28"/>
        </w:rPr>
      </w:pPr>
      <w:r>
        <w:rPr>
          <w:color w:val="000000"/>
          <w:sz w:val="28"/>
          <w:szCs w:val="28"/>
        </w:rPr>
        <w:t>第二十</w:t>
      </w:r>
      <w:r>
        <w:rPr>
          <w:rFonts w:hint="eastAsia"/>
          <w:color w:val="000000"/>
          <w:sz w:val="28"/>
          <w:szCs w:val="28"/>
        </w:rPr>
        <w:t>一</w:t>
      </w:r>
      <w:r>
        <w:rPr>
          <w:color w:val="000000"/>
          <w:sz w:val="28"/>
          <w:szCs w:val="28"/>
        </w:rPr>
        <w:t>条　乙级土地规划机构资格延续认定，按下列程序进行：</w:t>
      </w:r>
    </w:p>
    <w:p>
      <w:pPr>
        <w:widowControl/>
        <w:shd w:val="clear" w:color="auto" w:fill="FFFFFF"/>
        <w:spacing w:line="250" w:lineRule="atLeast"/>
        <w:ind w:firstLine="280"/>
        <w:rPr>
          <w:color w:val="000000"/>
          <w:sz w:val="28"/>
          <w:szCs w:val="28"/>
        </w:rPr>
      </w:pPr>
      <w:r>
        <w:rPr>
          <w:color w:val="000000"/>
          <w:sz w:val="28"/>
          <w:szCs w:val="28"/>
        </w:rPr>
        <w:t>　（一）申报。土地规划机构持应提交的资格延续认定材料，向海南省土地学会申报；</w:t>
      </w:r>
    </w:p>
    <w:p>
      <w:pPr>
        <w:widowControl/>
        <w:shd w:val="clear" w:color="auto" w:fill="FFFFFF"/>
        <w:spacing w:line="250" w:lineRule="atLeast"/>
        <w:ind w:firstLine="280"/>
        <w:rPr>
          <w:color w:val="000000"/>
          <w:sz w:val="28"/>
          <w:szCs w:val="28"/>
        </w:rPr>
      </w:pPr>
      <w:r>
        <w:rPr>
          <w:color w:val="000000"/>
          <w:sz w:val="28"/>
          <w:szCs w:val="28"/>
        </w:rPr>
        <w:t>　（二）受理。对基本符合资格延续认定条件的土地规划机构，海南省土地学会应予受理；</w:t>
      </w:r>
    </w:p>
    <w:p>
      <w:pPr>
        <w:widowControl/>
        <w:shd w:val="clear" w:color="auto" w:fill="FFFFFF"/>
        <w:spacing w:line="250" w:lineRule="atLeast"/>
        <w:ind w:firstLine="280"/>
        <w:rPr>
          <w:color w:val="000000"/>
          <w:sz w:val="28"/>
          <w:szCs w:val="28"/>
        </w:rPr>
      </w:pPr>
      <w:r>
        <w:rPr>
          <w:color w:val="000000"/>
          <w:sz w:val="28"/>
          <w:szCs w:val="28"/>
        </w:rPr>
        <w:t>　（三）审定。海南省土地学会组成专家组对资格延续认定申报材料进行评审，必要时抽查有关技术成果，提出</w:t>
      </w:r>
      <w:r>
        <w:rPr>
          <w:rFonts w:hint="eastAsia"/>
          <w:color w:val="000000"/>
          <w:sz w:val="28"/>
          <w:szCs w:val="28"/>
        </w:rPr>
        <w:t>评审</w:t>
      </w:r>
      <w:r>
        <w:rPr>
          <w:color w:val="000000"/>
          <w:sz w:val="28"/>
          <w:szCs w:val="28"/>
        </w:rPr>
        <w:t>意见；</w:t>
      </w:r>
    </w:p>
    <w:p>
      <w:pPr>
        <w:widowControl/>
        <w:shd w:val="clear" w:color="auto" w:fill="FFFFFF"/>
        <w:spacing w:line="250" w:lineRule="atLeast"/>
        <w:ind w:firstLine="280"/>
        <w:rPr>
          <w:color w:val="000000"/>
          <w:sz w:val="28"/>
          <w:szCs w:val="28"/>
        </w:rPr>
      </w:pPr>
      <w:r>
        <w:rPr>
          <w:color w:val="000000"/>
          <w:sz w:val="28"/>
          <w:szCs w:val="28"/>
        </w:rPr>
        <w:t>　（四）公告。对资格延续认定合格的土地规划机构，换发《土地规划机构等级证书》，并通过有关新闻媒体向社会公布，接受社会监督。</w:t>
      </w:r>
    </w:p>
    <w:p>
      <w:pPr>
        <w:widowControl/>
        <w:shd w:val="clear" w:color="auto" w:fill="FFFFFF"/>
        <w:spacing w:line="250" w:lineRule="atLeast"/>
        <w:ind w:firstLine="280"/>
        <w:rPr>
          <w:color w:val="000000"/>
          <w:sz w:val="28"/>
          <w:szCs w:val="28"/>
        </w:rPr>
      </w:pPr>
      <w:r>
        <w:rPr>
          <w:color w:val="000000"/>
          <w:sz w:val="28"/>
          <w:szCs w:val="28"/>
        </w:rPr>
        <w:t>第二十</w:t>
      </w:r>
      <w:r>
        <w:rPr>
          <w:rFonts w:hint="eastAsia"/>
          <w:color w:val="000000"/>
          <w:sz w:val="28"/>
          <w:szCs w:val="28"/>
        </w:rPr>
        <w:t>二</w:t>
      </w:r>
      <w:r>
        <w:rPr>
          <w:color w:val="000000"/>
          <w:sz w:val="28"/>
          <w:szCs w:val="28"/>
        </w:rPr>
        <w:t>条　 土地规划机构有下列情形之一的，资格延续认定不予通过：</w:t>
      </w:r>
    </w:p>
    <w:p>
      <w:pPr>
        <w:widowControl/>
        <w:shd w:val="clear" w:color="auto" w:fill="FFFFFF"/>
        <w:spacing w:line="250" w:lineRule="atLeast"/>
        <w:ind w:firstLine="420" w:firstLineChars="150"/>
        <w:rPr>
          <w:color w:val="000000"/>
          <w:sz w:val="28"/>
          <w:szCs w:val="28"/>
        </w:rPr>
      </w:pPr>
      <w:r>
        <w:rPr>
          <w:color w:val="000000"/>
          <w:sz w:val="28"/>
          <w:szCs w:val="28"/>
        </w:rPr>
        <w:t>（一）在申请要件中隐瞒真实情况、弄虚作假的；</w:t>
      </w:r>
    </w:p>
    <w:p>
      <w:pPr>
        <w:widowControl/>
        <w:shd w:val="clear" w:color="auto" w:fill="FFFFFF"/>
        <w:spacing w:line="250" w:lineRule="atLeast"/>
        <w:ind w:firstLine="420" w:firstLineChars="150"/>
        <w:rPr>
          <w:color w:val="000000"/>
          <w:sz w:val="28"/>
          <w:szCs w:val="28"/>
        </w:rPr>
      </w:pPr>
      <w:r>
        <w:rPr>
          <w:color w:val="000000"/>
          <w:sz w:val="28"/>
          <w:szCs w:val="28"/>
        </w:rPr>
        <w:t>（二）涂改、出租、出借、转让、出卖《土地规划机构等级证书》的；</w:t>
      </w:r>
    </w:p>
    <w:p>
      <w:pPr>
        <w:widowControl/>
        <w:shd w:val="clear" w:color="auto" w:fill="FFFFFF"/>
        <w:spacing w:line="250" w:lineRule="atLeast"/>
        <w:ind w:firstLine="420" w:firstLineChars="150"/>
        <w:rPr>
          <w:color w:val="000000"/>
          <w:sz w:val="28"/>
          <w:szCs w:val="28"/>
        </w:rPr>
      </w:pPr>
      <w:r>
        <w:rPr>
          <w:color w:val="000000"/>
          <w:sz w:val="28"/>
          <w:szCs w:val="28"/>
        </w:rPr>
        <w:t>（三）完成的业务成果质量低劣，同一成果两次或同类成果中有两个未通过最终评审、验收，造成不良影响，并经证实的；</w:t>
      </w:r>
    </w:p>
    <w:p>
      <w:pPr>
        <w:widowControl/>
        <w:shd w:val="clear" w:color="auto" w:fill="FFFFFF"/>
        <w:spacing w:line="250" w:lineRule="atLeast"/>
        <w:ind w:firstLine="420" w:firstLineChars="150"/>
        <w:rPr>
          <w:color w:val="000000"/>
          <w:sz w:val="28"/>
          <w:szCs w:val="28"/>
        </w:rPr>
      </w:pPr>
      <w:r>
        <w:rPr>
          <w:color w:val="000000"/>
          <w:sz w:val="28"/>
          <w:szCs w:val="28"/>
        </w:rPr>
        <w:t>（四）转包土地规划业务的；</w:t>
      </w:r>
    </w:p>
    <w:p>
      <w:pPr>
        <w:widowControl/>
        <w:shd w:val="clear" w:color="auto" w:fill="FFFFFF"/>
        <w:spacing w:line="250" w:lineRule="atLeast"/>
        <w:ind w:left="293" w:leftChars="133" w:firstLine="140" w:firstLineChars="50"/>
        <w:rPr>
          <w:color w:val="000000"/>
          <w:sz w:val="28"/>
          <w:szCs w:val="28"/>
        </w:rPr>
      </w:pPr>
      <w:r>
        <w:rPr>
          <w:color w:val="000000"/>
          <w:sz w:val="28"/>
          <w:szCs w:val="28"/>
        </w:rPr>
        <w:t>（五）专业技术人员、注册资本等发生变动未达到规定要求的</w:t>
      </w:r>
    </w:p>
    <w:p>
      <w:pPr>
        <w:widowControl/>
        <w:shd w:val="clear" w:color="auto" w:fill="FFFFFF"/>
        <w:spacing w:line="250" w:lineRule="atLeast"/>
        <w:ind w:left="293" w:leftChars="133" w:firstLine="140" w:firstLineChars="50"/>
        <w:rPr>
          <w:color w:val="000000"/>
          <w:sz w:val="28"/>
          <w:szCs w:val="28"/>
        </w:rPr>
      </w:pPr>
      <w:r>
        <w:rPr>
          <w:color w:val="000000"/>
          <w:sz w:val="28"/>
          <w:szCs w:val="28"/>
        </w:rPr>
        <w:t>（六）发现有违规执业行为的；</w:t>
      </w:r>
    </w:p>
    <w:p>
      <w:pPr>
        <w:widowControl/>
        <w:shd w:val="clear" w:color="auto" w:fill="FFFFFF"/>
        <w:spacing w:line="250" w:lineRule="atLeast"/>
        <w:ind w:left="293" w:leftChars="133" w:firstLine="140" w:firstLineChars="50"/>
        <w:rPr>
          <w:color w:val="000000"/>
          <w:sz w:val="28"/>
          <w:szCs w:val="28"/>
        </w:rPr>
      </w:pPr>
      <w:r>
        <w:rPr>
          <w:color w:val="000000"/>
          <w:sz w:val="28"/>
          <w:szCs w:val="28"/>
        </w:rPr>
        <w:t>（</w:t>
      </w:r>
      <w:r>
        <w:rPr>
          <w:rFonts w:hint="eastAsia"/>
          <w:color w:val="000000"/>
          <w:sz w:val="28"/>
          <w:szCs w:val="28"/>
        </w:rPr>
        <w:t>七</w:t>
      </w:r>
      <w:r>
        <w:rPr>
          <w:color w:val="000000"/>
          <w:sz w:val="28"/>
          <w:szCs w:val="28"/>
        </w:rPr>
        <w:t>）</w:t>
      </w:r>
      <w:r>
        <w:rPr>
          <w:rFonts w:hint="eastAsia"/>
          <w:color w:val="000000"/>
          <w:sz w:val="28"/>
          <w:szCs w:val="28"/>
        </w:rPr>
        <w:t>专业技术</w:t>
      </w:r>
      <w:r>
        <w:rPr>
          <w:color w:val="000000"/>
          <w:sz w:val="28"/>
          <w:szCs w:val="28"/>
        </w:rPr>
        <w:t>人员不参加继续教育培训的。</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三</w:t>
      </w:r>
      <w:r>
        <w:rPr>
          <w:color w:val="000000"/>
          <w:sz w:val="28"/>
          <w:szCs w:val="28"/>
        </w:rPr>
        <w:t>条  资格延续认定不</w:t>
      </w:r>
      <w:r>
        <w:rPr>
          <w:rFonts w:hint="eastAsia"/>
          <w:color w:val="000000"/>
          <w:sz w:val="28"/>
          <w:szCs w:val="28"/>
        </w:rPr>
        <w:t>合格或</w:t>
      </w:r>
      <w:r>
        <w:rPr>
          <w:color w:val="000000"/>
          <w:sz w:val="28"/>
          <w:szCs w:val="28"/>
        </w:rPr>
        <w:t>未经资格延续认定的土地规划机构</w:t>
      </w:r>
      <w:r>
        <w:rPr>
          <w:rFonts w:hint="eastAsia"/>
          <w:color w:val="000000"/>
          <w:sz w:val="28"/>
          <w:szCs w:val="28"/>
        </w:rPr>
        <w:t>，</w:t>
      </w:r>
      <w:r>
        <w:rPr>
          <w:color w:val="000000"/>
          <w:sz w:val="28"/>
          <w:szCs w:val="28"/>
        </w:rPr>
        <w:t>不换发《土地规划机构等级证书》</w:t>
      </w:r>
      <w:r>
        <w:rPr>
          <w:rFonts w:hint="eastAsia"/>
          <w:color w:val="000000"/>
          <w:sz w:val="28"/>
          <w:szCs w:val="28"/>
        </w:rPr>
        <w:t>，且不纳入海南省土地规划机构评选推荐名录</w:t>
      </w:r>
      <w:r>
        <w:rPr>
          <w:color w:val="000000"/>
          <w:sz w:val="28"/>
          <w:szCs w:val="28"/>
        </w:rPr>
        <w:t>。</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四</w:t>
      </w:r>
      <w:r>
        <w:rPr>
          <w:color w:val="000000"/>
          <w:sz w:val="28"/>
          <w:szCs w:val="28"/>
        </w:rPr>
        <w:t>条  评审工作人员在评审工作中玩忽职守、滥用职权、徇私舞弊的，追究其责任。</w:t>
      </w:r>
    </w:p>
    <w:p>
      <w:pPr>
        <w:widowControl/>
        <w:shd w:val="clear" w:color="auto" w:fill="FFFFFF"/>
        <w:spacing w:line="250" w:lineRule="atLeast"/>
        <w:ind w:firstLine="600" w:firstLineChars="200"/>
        <w:rPr>
          <w:rFonts w:ascii="黑体" w:eastAsia="黑体"/>
          <w:color w:val="000000"/>
          <w:sz w:val="30"/>
          <w:szCs w:val="30"/>
        </w:rPr>
      </w:pPr>
      <w:r>
        <w:rPr>
          <w:rFonts w:ascii="黑体" w:eastAsia="黑体"/>
          <w:color w:val="000000"/>
          <w:sz w:val="30"/>
          <w:szCs w:val="30"/>
        </w:rPr>
        <w:t>第五章　权利与义务</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五</w:t>
      </w:r>
      <w:r>
        <w:rPr>
          <w:color w:val="000000"/>
          <w:sz w:val="28"/>
          <w:szCs w:val="28"/>
        </w:rPr>
        <w:t>条　土地规划机构及其从业人员享有以下权利：</w:t>
      </w:r>
    </w:p>
    <w:p>
      <w:pPr>
        <w:widowControl/>
        <w:numPr>
          <w:ilvl w:val="0"/>
          <w:numId w:val="1"/>
        </w:numPr>
        <w:shd w:val="clear" w:color="auto" w:fill="FFFFFF"/>
        <w:autoSpaceDE/>
        <w:autoSpaceDN/>
        <w:spacing w:line="250" w:lineRule="atLeast"/>
        <w:ind w:firstLine="560" w:firstLineChars="200"/>
        <w:rPr>
          <w:color w:val="000000"/>
          <w:sz w:val="28"/>
          <w:szCs w:val="28"/>
        </w:rPr>
      </w:pPr>
      <w:r>
        <w:rPr>
          <w:rFonts w:hint="eastAsia"/>
          <w:color w:val="000000"/>
          <w:sz w:val="28"/>
          <w:szCs w:val="28"/>
        </w:rPr>
        <w:t>按照资格证书及相关要求开展相应业务</w:t>
      </w:r>
      <w:r>
        <w:rPr>
          <w:color w:val="000000"/>
          <w:sz w:val="28"/>
          <w:szCs w:val="28"/>
        </w:rPr>
        <w:t>；</w:t>
      </w:r>
    </w:p>
    <w:p>
      <w:pPr>
        <w:widowControl/>
        <w:numPr>
          <w:ilvl w:val="0"/>
          <w:numId w:val="1"/>
        </w:numPr>
        <w:shd w:val="clear" w:color="auto" w:fill="FFFFFF"/>
        <w:autoSpaceDE/>
        <w:autoSpaceDN/>
        <w:spacing w:line="250" w:lineRule="atLeast"/>
        <w:ind w:firstLine="560" w:firstLineChars="200"/>
        <w:rPr>
          <w:color w:val="000000"/>
          <w:sz w:val="28"/>
          <w:szCs w:val="28"/>
        </w:rPr>
      </w:pPr>
      <w:r>
        <w:rPr>
          <w:rFonts w:hint="eastAsia"/>
          <w:color w:val="000000"/>
          <w:sz w:val="28"/>
          <w:szCs w:val="28"/>
        </w:rPr>
        <w:t>从事</w:t>
      </w:r>
      <w:r>
        <w:rPr>
          <w:color w:val="000000"/>
          <w:sz w:val="28"/>
          <w:szCs w:val="28"/>
        </w:rPr>
        <w:t>土地规划业务；</w:t>
      </w:r>
    </w:p>
    <w:p>
      <w:pPr>
        <w:widowControl/>
        <w:shd w:val="clear" w:color="auto" w:fill="FFFFFF"/>
        <w:spacing w:line="250" w:lineRule="atLeast"/>
        <w:ind w:firstLine="560" w:firstLineChars="200"/>
        <w:rPr>
          <w:color w:val="000000"/>
          <w:sz w:val="28"/>
          <w:szCs w:val="28"/>
        </w:rPr>
      </w:pPr>
      <w:r>
        <w:rPr>
          <w:color w:val="000000"/>
          <w:sz w:val="28"/>
          <w:szCs w:val="28"/>
        </w:rPr>
        <w:t>（三）</w:t>
      </w:r>
      <w:r>
        <w:rPr>
          <w:rFonts w:hint="eastAsia"/>
          <w:color w:val="000000"/>
          <w:sz w:val="28"/>
          <w:szCs w:val="28"/>
        </w:rPr>
        <w:t>对</w:t>
      </w:r>
      <w:r>
        <w:rPr>
          <w:color w:val="000000"/>
          <w:sz w:val="28"/>
          <w:szCs w:val="28"/>
        </w:rPr>
        <w:t>本机构完成的土地规划成果进行解释；</w:t>
      </w:r>
    </w:p>
    <w:p>
      <w:pPr>
        <w:widowControl/>
        <w:shd w:val="clear" w:color="auto" w:fill="FFFFFF"/>
        <w:spacing w:line="250" w:lineRule="atLeast"/>
        <w:ind w:firstLine="560" w:firstLineChars="200"/>
        <w:rPr>
          <w:color w:val="000000"/>
          <w:sz w:val="28"/>
          <w:szCs w:val="28"/>
        </w:rPr>
      </w:pPr>
      <w:r>
        <w:rPr>
          <w:color w:val="000000"/>
          <w:sz w:val="28"/>
          <w:szCs w:val="28"/>
        </w:rPr>
        <w:t>（</w:t>
      </w:r>
      <w:r>
        <w:rPr>
          <w:rFonts w:hint="eastAsia"/>
          <w:color w:val="000000"/>
          <w:sz w:val="28"/>
          <w:szCs w:val="28"/>
        </w:rPr>
        <w:t>四</w:t>
      </w:r>
      <w:r>
        <w:rPr>
          <w:color w:val="000000"/>
          <w:sz w:val="28"/>
          <w:szCs w:val="28"/>
        </w:rPr>
        <w:t>）</w:t>
      </w:r>
      <w:r>
        <w:rPr>
          <w:rFonts w:hint="eastAsia"/>
          <w:color w:val="000000"/>
          <w:sz w:val="28"/>
          <w:szCs w:val="28"/>
        </w:rPr>
        <w:t>获取海南省土地学会编制或刊发的会刊等资料；</w:t>
      </w:r>
    </w:p>
    <w:p>
      <w:pPr>
        <w:widowControl/>
        <w:shd w:val="clear" w:color="auto" w:fill="FFFFFF"/>
        <w:spacing w:line="250" w:lineRule="atLeast"/>
        <w:ind w:firstLine="560" w:firstLineChars="200"/>
        <w:rPr>
          <w:color w:val="000000"/>
          <w:sz w:val="28"/>
          <w:szCs w:val="28"/>
        </w:rPr>
      </w:pPr>
      <w:r>
        <w:rPr>
          <w:color w:val="000000"/>
          <w:sz w:val="28"/>
          <w:szCs w:val="28"/>
        </w:rPr>
        <w:t>（</w:t>
      </w:r>
      <w:r>
        <w:rPr>
          <w:rFonts w:hint="eastAsia"/>
          <w:color w:val="000000"/>
          <w:sz w:val="28"/>
          <w:szCs w:val="28"/>
        </w:rPr>
        <w:t>五</w:t>
      </w:r>
      <w:r>
        <w:rPr>
          <w:color w:val="000000"/>
          <w:sz w:val="28"/>
          <w:szCs w:val="28"/>
        </w:rPr>
        <w:t>）</w:t>
      </w:r>
      <w:r>
        <w:rPr>
          <w:rFonts w:hint="eastAsia"/>
          <w:color w:val="000000"/>
          <w:sz w:val="28"/>
          <w:szCs w:val="28"/>
        </w:rPr>
        <w:t>参加海南省土地学会组织的年度评优、评奖活动及相关学术交流活动；</w:t>
      </w:r>
    </w:p>
    <w:p>
      <w:pPr>
        <w:widowControl/>
        <w:shd w:val="clear" w:color="auto" w:fill="FFFFFF"/>
        <w:spacing w:line="250" w:lineRule="atLeast"/>
        <w:ind w:firstLine="560" w:firstLineChars="200"/>
        <w:rPr>
          <w:color w:val="000000"/>
          <w:sz w:val="28"/>
          <w:szCs w:val="28"/>
        </w:rPr>
      </w:pPr>
      <w:r>
        <w:rPr>
          <w:rFonts w:hint="eastAsia"/>
          <w:color w:val="000000"/>
          <w:sz w:val="28"/>
          <w:szCs w:val="28"/>
        </w:rPr>
        <w:t>（六）由海南省土地学会推荐，参加中国土地学会组织的年度评优、评奖活动及相关学术交流活动。</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六</w:t>
      </w:r>
      <w:r>
        <w:rPr>
          <w:color w:val="000000"/>
          <w:sz w:val="28"/>
          <w:szCs w:val="28"/>
        </w:rPr>
        <w:t>条　土地规划机构及其从业人员履行下列义务：</w:t>
      </w:r>
    </w:p>
    <w:p>
      <w:pPr>
        <w:widowControl/>
        <w:shd w:val="clear" w:color="auto" w:fill="FFFFFF"/>
        <w:spacing w:line="250" w:lineRule="atLeast"/>
        <w:ind w:firstLine="280"/>
        <w:rPr>
          <w:color w:val="000000"/>
          <w:sz w:val="28"/>
          <w:szCs w:val="28"/>
        </w:rPr>
      </w:pPr>
      <w:r>
        <w:rPr>
          <w:color w:val="000000"/>
          <w:sz w:val="28"/>
          <w:szCs w:val="28"/>
        </w:rPr>
        <w:t>　（一）遵循公正、客观、诚实、守信的执业原则；</w:t>
      </w:r>
    </w:p>
    <w:p>
      <w:pPr>
        <w:widowControl/>
        <w:shd w:val="clear" w:color="auto" w:fill="FFFFFF"/>
        <w:spacing w:line="250" w:lineRule="atLeast"/>
        <w:ind w:firstLine="280"/>
        <w:rPr>
          <w:color w:val="000000"/>
          <w:sz w:val="28"/>
          <w:szCs w:val="28"/>
        </w:rPr>
      </w:pPr>
      <w:r>
        <w:rPr>
          <w:color w:val="000000"/>
          <w:sz w:val="28"/>
          <w:szCs w:val="28"/>
        </w:rPr>
        <w:t>　（二）遵守土地规划编制有关法律法规政策和技术标准；</w:t>
      </w:r>
    </w:p>
    <w:p>
      <w:pPr>
        <w:widowControl/>
        <w:shd w:val="clear" w:color="auto" w:fill="FFFFFF"/>
        <w:spacing w:line="250" w:lineRule="atLeast"/>
        <w:ind w:firstLine="560" w:firstLineChars="200"/>
        <w:rPr>
          <w:color w:val="000000"/>
          <w:sz w:val="28"/>
          <w:szCs w:val="28"/>
        </w:rPr>
      </w:pPr>
      <w:r>
        <w:rPr>
          <w:color w:val="000000"/>
          <w:sz w:val="28"/>
          <w:szCs w:val="28"/>
        </w:rPr>
        <w:t>（三）按有效委托协议（合同）要求，提供相应的土地规划业务服务；</w:t>
      </w:r>
    </w:p>
    <w:p>
      <w:pPr>
        <w:widowControl/>
        <w:shd w:val="clear" w:color="auto" w:fill="FFFFFF"/>
        <w:spacing w:line="250" w:lineRule="atLeast"/>
        <w:ind w:firstLine="560" w:firstLineChars="200"/>
        <w:rPr>
          <w:color w:val="000000"/>
          <w:sz w:val="28"/>
          <w:szCs w:val="28"/>
        </w:rPr>
      </w:pPr>
      <w:r>
        <w:rPr>
          <w:color w:val="000000"/>
          <w:sz w:val="28"/>
          <w:szCs w:val="28"/>
        </w:rPr>
        <w:t>（四）提供的执业文件、资料和成果真实有效。</w:t>
      </w:r>
    </w:p>
    <w:p>
      <w:pPr>
        <w:widowControl/>
        <w:shd w:val="clear" w:color="auto" w:fill="FFFFFF"/>
        <w:spacing w:line="250" w:lineRule="atLeast"/>
        <w:ind w:firstLine="560" w:firstLineChars="200"/>
        <w:rPr>
          <w:color w:val="000000"/>
          <w:sz w:val="28"/>
          <w:szCs w:val="28"/>
        </w:rPr>
      </w:pPr>
      <w:r>
        <w:rPr>
          <w:color w:val="000000"/>
          <w:sz w:val="28"/>
          <w:szCs w:val="28"/>
        </w:rPr>
        <w:t>（</w:t>
      </w:r>
      <w:r>
        <w:rPr>
          <w:rFonts w:hint="eastAsia"/>
          <w:color w:val="000000"/>
          <w:sz w:val="28"/>
          <w:szCs w:val="28"/>
        </w:rPr>
        <w:t>五</w:t>
      </w:r>
      <w:r>
        <w:rPr>
          <w:color w:val="000000"/>
          <w:sz w:val="28"/>
          <w:szCs w:val="28"/>
        </w:rPr>
        <w:t>）</w:t>
      </w:r>
      <w:r>
        <w:rPr>
          <w:rFonts w:hint="eastAsia"/>
          <w:color w:val="000000"/>
          <w:sz w:val="28"/>
          <w:szCs w:val="28"/>
        </w:rPr>
        <w:t>专业技术人员有参加继续教育培训的义务</w:t>
      </w:r>
      <w:r>
        <w:rPr>
          <w:color w:val="000000"/>
          <w:sz w:val="28"/>
          <w:szCs w:val="28"/>
        </w:rPr>
        <w:t>。</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七</w:t>
      </w:r>
      <w:r>
        <w:rPr>
          <w:color w:val="000000"/>
          <w:sz w:val="28"/>
          <w:szCs w:val="28"/>
        </w:rPr>
        <w:t>条　有下列行为之一者，属于违规执业：</w:t>
      </w:r>
    </w:p>
    <w:p>
      <w:pPr>
        <w:widowControl/>
        <w:shd w:val="clear" w:color="auto" w:fill="FFFFFF"/>
        <w:spacing w:line="250" w:lineRule="atLeast"/>
        <w:ind w:firstLine="280"/>
        <w:rPr>
          <w:color w:val="000000"/>
          <w:sz w:val="28"/>
          <w:szCs w:val="28"/>
        </w:rPr>
      </w:pPr>
      <w:r>
        <w:rPr>
          <w:color w:val="000000"/>
          <w:sz w:val="28"/>
          <w:szCs w:val="28"/>
        </w:rPr>
        <w:t>　（一）出具虚假文件和资料的；</w:t>
      </w:r>
    </w:p>
    <w:p>
      <w:pPr>
        <w:widowControl/>
        <w:shd w:val="clear" w:color="auto" w:fill="FFFFFF"/>
        <w:spacing w:line="250" w:lineRule="atLeast"/>
        <w:ind w:firstLine="560" w:firstLineChars="200"/>
        <w:rPr>
          <w:color w:val="000000"/>
          <w:sz w:val="28"/>
          <w:szCs w:val="28"/>
        </w:rPr>
      </w:pPr>
      <w:r>
        <w:rPr>
          <w:color w:val="000000"/>
          <w:sz w:val="28"/>
          <w:szCs w:val="28"/>
        </w:rPr>
        <w:t>（二）以不正当竞争手段承揽业务的；</w:t>
      </w:r>
    </w:p>
    <w:p>
      <w:pPr>
        <w:widowControl/>
        <w:shd w:val="clear" w:color="auto" w:fill="FFFFFF"/>
        <w:spacing w:line="250" w:lineRule="atLeast"/>
        <w:ind w:firstLine="560" w:firstLineChars="200"/>
        <w:rPr>
          <w:color w:val="000000"/>
          <w:sz w:val="28"/>
          <w:szCs w:val="28"/>
        </w:rPr>
      </w:pPr>
      <w:r>
        <w:rPr>
          <w:color w:val="000000"/>
          <w:sz w:val="28"/>
          <w:szCs w:val="28"/>
        </w:rPr>
        <w:t>（三）假冒其他单位资格证书执业的；</w:t>
      </w:r>
    </w:p>
    <w:p>
      <w:pPr>
        <w:widowControl/>
        <w:shd w:val="clear" w:color="auto" w:fill="FFFFFF"/>
        <w:spacing w:line="250" w:lineRule="atLeast"/>
        <w:ind w:firstLine="560" w:firstLineChars="200"/>
        <w:rPr>
          <w:color w:val="000000"/>
          <w:sz w:val="28"/>
          <w:szCs w:val="28"/>
        </w:rPr>
      </w:pPr>
      <w:r>
        <w:rPr>
          <w:color w:val="000000"/>
          <w:sz w:val="28"/>
          <w:szCs w:val="28"/>
        </w:rPr>
        <w:t>（四）伪造、涂改或转让执业资格证书的；</w:t>
      </w:r>
    </w:p>
    <w:p>
      <w:pPr>
        <w:widowControl/>
        <w:shd w:val="clear" w:color="auto" w:fill="FFFFFF"/>
        <w:spacing w:line="250" w:lineRule="atLeast"/>
        <w:ind w:firstLine="560" w:firstLineChars="200"/>
        <w:rPr>
          <w:color w:val="000000"/>
          <w:sz w:val="28"/>
          <w:szCs w:val="28"/>
        </w:rPr>
      </w:pPr>
      <w:r>
        <w:rPr>
          <w:color w:val="000000"/>
          <w:sz w:val="28"/>
          <w:szCs w:val="28"/>
        </w:rPr>
        <w:t>（五）超出执业范围执业的。</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w:t>
      </w:r>
      <w:r>
        <w:rPr>
          <w:color w:val="000000"/>
          <w:sz w:val="28"/>
          <w:szCs w:val="28"/>
        </w:rPr>
        <w:t>十</w:t>
      </w:r>
      <w:r>
        <w:rPr>
          <w:rFonts w:hint="eastAsia"/>
          <w:color w:val="000000"/>
          <w:sz w:val="28"/>
          <w:szCs w:val="28"/>
        </w:rPr>
        <w:t>八</w:t>
      </w:r>
      <w:r>
        <w:rPr>
          <w:color w:val="000000"/>
          <w:sz w:val="28"/>
          <w:szCs w:val="28"/>
        </w:rPr>
        <w:t>条　</w:t>
      </w:r>
      <w:r>
        <w:rPr>
          <w:rFonts w:hint="eastAsia"/>
          <w:color w:val="000000"/>
          <w:sz w:val="28"/>
          <w:szCs w:val="28"/>
        </w:rPr>
        <w:t>建立定期执业满意度回访督查制度。海南省土地学会对每一个土地规划机构的执业情况进行回访，回访结果将计入土地规划机构信息档案。对于存在累计两次以上不满意记录的执业机构进行备案并督查。</w:t>
      </w:r>
    </w:p>
    <w:p>
      <w:pPr>
        <w:widowControl/>
        <w:shd w:val="clear" w:color="auto" w:fill="FFFFFF"/>
        <w:spacing w:line="250" w:lineRule="atLeast"/>
        <w:ind w:firstLine="560" w:firstLineChars="200"/>
        <w:rPr>
          <w:color w:val="000000"/>
          <w:sz w:val="28"/>
          <w:szCs w:val="28"/>
        </w:rPr>
      </w:pPr>
      <w:r>
        <w:rPr>
          <w:color w:val="000000"/>
          <w:sz w:val="28"/>
          <w:szCs w:val="28"/>
        </w:rPr>
        <w:t>第</w:t>
      </w:r>
      <w:r>
        <w:rPr>
          <w:rFonts w:hint="eastAsia"/>
          <w:color w:val="000000"/>
          <w:sz w:val="28"/>
          <w:szCs w:val="28"/>
        </w:rPr>
        <w:t>二十九</w:t>
      </w:r>
      <w:r>
        <w:rPr>
          <w:color w:val="000000"/>
          <w:sz w:val="28"/>
          <w:szCs w:val="28"/>
        </w:rPr>
        <w:t>条建立诚信执业档案制度。海南省土地学会对每一个土地规划机构建立档案，对各土地规划机构及其从业人员的工作业绩、年检评审、继续教育、表彰 、奖励、违规惩处等信息记入档案，并作为机构年审的依据之一。  </w:t>
      </w:r>
    </w:p>
    <w:p>
      <w:pPr>
        <w:widowControl/>
        <w:shd w:val="clear" w:color="auto" w:fill="FFFFFF"/>
        <w:spacing w:line="250" w:lineRule="atLeast"/>
        <w:ind w:firstLine="600" w:firstLineChars="200"/>
        <w:rPr>
          <w:rFonts w:ascii="黑体" w:eastAsia="黑体"/>
          <w:color w:val="000000"/>
          <w:sz w:val="30"/>
          <w:szCs w:val="30"/>
        </w:rPr>
      </w:pPr>
      <w:r>
        <w:rPr>
          <w:rFonts w:ascii="黑体" w:eastAsia="黑体"/>
          <w:color w:val="000000"/>
          <w:sz w:val="30"/>
          <w:szCs w:val="30"/>
        </w:rPr>
        <w:t>第六章  责任追究</w:t>
      </w:r>
    </w:p>
    <w:p>
      <w:pPr>
        <w:widowControl/>
        <w:shd w:val="clear" w:color="auto" w:fill="FFFFFF"/>
        <w:spacing w:line="250" w:lineRule="atLeast"/>
        <w:ind w:firstLine="560" w:firstLineChars="200"/>
        <w:rPr>
          <w:color w:val="000000"/>
          <w:sz w:val="28"/>
          <w:szCs w:val="28"/>
        </w:rPr>
      </w:pPr>
      <w:r>
        <w:rPr>
          <w:color w:val="000000"/>
          <w:sz w:val="28"/>
          <w:szCs w:val="28"/>
        </w:rPr>
        <w:t>第三十条　土地规划机构违规执业的，根据情节轻重，给予下列处理：</w:t>
      </w:r>
    </w:p>
    <w:p>
      <w:pPr>
        <w:widowControl/>
        <w:shd w:val="clear" w:color="auto" w:fill="FFFFFF"/>
        <w:spacing w:line="250" w:lineRule="atLeast"/>
        <w:ind w:firstLine="567"/>
        <w:rPr>
          <w:color w:val="000000"/>
          <w:sz w:val="28"/>
          <w:szCs w:val="28"/>
        </w:rPr>
      </w:pPr>
      <w:r>
        <w:rPr>
          <w:color w:val="000000"/>
          <w:sz w:val="28"/>
          <w:szCs w:val="28"/>
        </w:rPr>
        <w:t>（一）警告；</w:t>
      </w:r>
    </w:p>
    <w:p>
      <w:pPr>
        <w:widowControl/>
        <w:shd w:val="clear" w:color="auto" w:fill="FFFFFF"/>
        <w:spacing w:line="250" w:lineRule="atLeast"/>
        <w:ind w:firstLine="567"/>
        <w:rPr>
          <w:color w:val="000000"/>
          <w:sz w:val="28"/>
          <w:szCs w:val="28"/>
        </w:rPr>
      </w:pPr>
      <w:r>
        <w:rPr>
          <w:color w:val="000000"/>
          <w:sz w:val="28"/>
          <w:szCs w:val="28"/>
        </w:rPr>
        <w:t>（二）通报批评；</w:t>
      </w:r>
    </w:p>
    <w:p>
      <w:pPr>
        <w:widowControl/>
        <w:shd w:val="clear" w:color="auto" w:fill="FFFFFF"/>
        <w:spacing w:line="250" w:lineRule="atLeast"/>
        <w:ind w:firstLine="567"/>
        <w:rPr>
          <w:color w:val="000000"/>
          <w:sz w:val="28"/>
          <w:szCs w:val="28"/>
        </w:rPr>
      </w:pPr>
      <w:r>
        <w:rPr>
          <w:color w:val="000000"/>
          <w:sz w:val="28"/>
          <w:szCs w:val="28"/>
        </w:rPr>
        <w:t>（</w:t>
      </w:r>
      <w:r>
        <w:rPr>
          <w:rFonts w:hint="eastAsia"/>
          <w:color w:val="000000"/>
          <w:sz w:val="28"/>
          <w:szCs w:val="28"/>
        </w:rPr>
        <w:t>三</w:t>
      </w:r>
      <w:r>
        <w:rPr>
          <w:color w:val="000000"/>
          <w:sz w:val="28"/>
          <w:szCs w:val="28"/>
        </w:rPr>
        <w:t>）已列入推荐名录的予以除名并公布</w:t>
      </w:r>
      <w:r>
        <w:rPr>
          <w:rFonts w:hint="eastAsia"/>
          <w:color w:val="000000"/>
          <w:sz w:val="28"/>
          <w:szCs w:val="28"/>
        </w:rPr>
        <w:t>。</w:t>
      </w:r>
    </w:p>
    <w:p>
      <w:pPr>
        <w:widowControl/>
        <w:shd w:val="clear" w:color="auto" w:fill="FFFFFF"/>
        <w:spacing w:line="250" w:lineRule="atLeast"/>
        <w:ind w:firstLine="567"/>
        <w:rPr>
          <w:color w:val="000000"/>
          <w:sz w:val="28"/>
          <w:szCs w:val="28"/>
        </w:rPr>
      </w:pPr>
      <w:r>
        <w:rPr>
          <w:color w:val="000000"/>
          <w:sz w:val="28"/>
          <w:szCs w:val="28"/>
        </w:rPr>
        <w:t>第三十</w:t>
      </w:r>
      <w:r>
        <w:rPr>
          <w:rFonts w:hint="eastAsia"/>
          <w:color w:val="000000"/>
          <w:sz w:val="28"/>
          <w:szCs w:val="28"/>
        </w:rPr>
        <w:t>一</w:t>
      </w:r>
      <w:r>
        <w:rPr>
          <w:color w:val="000000"/>
          <w:sz w:val="28"/>
          <w:szCs w:val="28"/>
        </w:rPr>
        <w:t>条　查处违规执业行为，按以下程序办理：</w:t>
      </w:r>
    </w:p>
    <w:p>
      <w:pPr>
        <w:widowControl/>
        <w:shd w:val="clear" w:color="auto" w:fill="FFFFFF"/>
        <w:spacing w:line="250" w:lineRule="atLeast"/>
        <w:ind w:firstLine="280"/>
        <w:rPr>
          <w:color w:val="000000"/>
          <w:sz w:val="28"/>
          <w:szCs w:val="28"/>
        </w:rPr>
      </w:pPr>
      <w:r>
        <w:rPr>
          <w:color w:val="000000"/>
          <w:sz w:val="28"/>
          <w:szCs w:val="28"/>
        </w:rPr>
        <w:t>　（一）对违规执业行为进行调查核实；</w:t>
      </w:r>
    </w:p>
    <w:p>
      <w:pPr>
        <w:widowControl/>
        <w:shd w:val="clear" w:color="auto" w:fill="FFFFFF"/>
        <w:spacing w:line="250" w:lineRule="atLeast"/>
        <w:ind w:firstLine="280"/>
        <w:rPr>
          <w:color w:val="000000"/>
          <w:sz w:val="28"/>
          <w:szCs w:val="28"/>
        </w:rPr>
      </w:pPr>
      <w:r>
        <w:rPr>
          <w:color w:val="000000"/>
          <w:sz w:val="28"/>
          <w:szCs w:val="28"/>
        </w:rPr>
        <w:t>　（二）对违规执业行为的性质予以认定；</w:t>
      </w:r>
    </w:p>
    <w:p>
      <w:pPr>
        <w:widowControl/>
        <w:shd w:val="clear" w:color="auto" w:fill="FFFFFF"/>
        <w:spacing w:line="250" w:lineRule="atLeast"/>
        <w:ind w:firstLine="280"/>
        <w:rPr>
          <w:color w:val="000000"/>
          <w:sz w:val="28"/>
          <w:szCs w:val="28"/>
        </w:rPr>
      </w:pPr>
      <w:r>
        <w:rPr>
          <w:color w:val="000000"/>
          <w:sz w:val="28"/>
          <w:szCs w:val="28"/>
        </w:rPr>
        <w:t>　（三）拟定处理决定；</w:t>
      </w:r>
    </w:p>
    <w:p>
      <w:pPr>
        <w:widowControl/>
        <w:shd w:val="clear" w:color="auto" w:fill="FFFFFF"/>
        <w:spacing w:line="250" w:lineRule="atLeast"/>
        <w:ind w:firstLine="280"/>
        <w:rPr>
          <w:color w:val="000000"/>
          <w:sz w:val="28"/>
          <w:szCs w:val="28"/>
        </w:rPr>
      </w:pPr>
      <w:r>
        <w:rPr>
          <w:color w:val="000000"/>
          <w:sz w:val="28"/>
          <w:szCs w:val="28"/>
        </w:rPr>
        <w:t>　（四）征求当事人意见；</w:t>
      </w:r>
    </w:p>
    <w:p>
      <w:pPr>
        <w:widowControl/>
        <w:shd w:val="clear" w:color="auto" w:fill="FFFFFF"/>
        <w:spacing w:line="250" w:lineRule="atLeast"/>
        <w:ind w:firstLine="280"/>
        <w:rPr>
          <w:color w:val="000000"/>
          <w:sz w:val="28"/>
          <w:szCs w:val="28"/>
        </w:rPr>
      </w:pPr>
      <w:r>
        <w:rPr>
          <w:color w:val="000000"/>
          <w:sz w:val="28"/>
          <w:szCs w:val="28"/>
        </w:rPr>
        <w:t>　（五）理事长会议审定；</w:t>
      </w:r>
    </w:p>
    <w:p>
      <w:pPr>
        <w:widowControl/>
        <w:shd w:val="clear" w:color="auto" w:fill="FFFFFF"/>
        <w:spacing w:line="250" w:lineRule="atLeast"/>
        <w:ind w:firstLine="560" w:firstLineChars="200"/>
        <w:rPr>
          <w:color w:val="000000"/>
          <w:sz w:val="28"/>
          <w:szCs w:val="28"/>
        </w:rPr>
      </w:pPr>
      <w:r>
        <w:rPr>
          <w:color w:val="000000"/>
          <w:sz w:val="28"/>
          <w:szCs w:val="28"/>
        </w:rPr>
        <w:t>（六）下达处理决定。 </w:t>
      </w:r>
    </w:p>
    <w:p>
      <w:pPr>
        <w:widowControl/>
        <w:shd w:val="clear" w:color="auto" w:fill="FFFFFF"/>
        <w:spacing w:line="250" w:lineRule="atLeast"/>
        <w:ind w:firstLine="600" w:firstLineChars="200"/>
        <w:rPr>
          <w:rFonts w:ascii="黑体" w:eastAsia="黑体"/>
          <w:color w:val="000000"/>
          <w:sz w:val="30"/>
          <w:szCs w:val="30"/>
        </w:rPr>
      </w:pPr>
      <w:r>
        <w:rPr>
          <w:rFonts w:ascii="黑体" w:eastAsia="黑体"/>
          <w:color w:val="000000"/>
          <w:sz w:val="30"/>
          <w:szCs w:val="30"/>
        </w:rPr>
        <w:t>第七章 附则</w:t>
      </w:r>
    </w:p>
    <w:p>
      <w:pPr>
        <w:widowControl/>
        <w:shd w:val="clear" w:color="auto" w:fill="FFFFFF"/>
        <w:spacing w:line="250" w:lineRule="atLeast"/>
        <w:ind w:firstLine="708" w:firstLineChars="253"/>
        <w:rPr>
          <w:color w:val="000000"/>
          <w:sz w:val="28"/>
          <w:szCs w:val="28"/>
        </w:rPr>
      </w:pPr>
      <w:r>
        <w:rPr>
          <w:color w:val="000000"/>
          <w:sz w:val="28"/>
          <w:szCs w:val="28"/>
        </w:rPr>
        <w:t>第三十</w:t>
      </w:r>
      <w:r>
        <w:rPr>
          <w:rFonts w:hint="eastAsia"/>
          <w:color w:val="000000"/>
          <w:sz w:val="28"/>
          <w:szCs w:val="28"/>
        </w:rPr>
        <w:t>二</w:t>
      </w:r>
      <w:r>
        <w:rPr>
          <w:color w:val="000000"/>
          <w:sz w:val="28"/>
          <w:szCs w:val="28"/>
        </w:rPr>
        <w:t>条　由中国土地学会列入土地规划甲级机构推荐名 录的规划机构在</w:t>
      </w:r>
      <w:r>
        <w:rPr>
          <w:rFonts w:hint="eastAsia"/>
          <w:color w:val="000000"/>
          <w:sz w:val="28"/>
          <w:szCs w:val="28"/>
        </w:rPr>
        <w:t>海南</w:t>
      </w:r>
      <w:r>
        <w:rPr>
          <w:color w:val="000000"/>
          <w:sz w:val="28"/>
          <w:szCs w:val="28"/>
        </w:rPr>
        <w:t>省内从事土地规划业务的，</w:t>
      </w:r>
      <w:r>
        <w:rPr>
          <w:rFonts w:hint="eastAsia"/>
          <w:color w:val="000000"/>
          <w:sz w:val="28"/>
          <w:szCs w:val="28"/>
        </w:rPr>
        <w:t>应</w:t>
      </w:r>
      <w:r>
        <w:rPr>
          <w:color w:val="000000"/>
          <w:sz w:val="28"/>
          <w:szCs w:val="28"/>
        </w:rPr>
        <w:t>到</w:t>
      </w:r>
      <w:r>
        <w:rPr>
          <w:rFonts w:hint="eastAsia"/>
          <w:color w:val="000000"/>
          <w:sz w:val="28"/>
          <w:szCs w:val="28"/>
        </w:rPr>
        <w:t>海南</w:t>
      </w:r>
      <w:r>
        <w:rPr>
          <w:color w:val="000000"/>
          <w:sz w:val="28"/>
          <w:szCs w:val="28"/>
        </w:rPr>
        <w:t>省土地学会登记备案，并参照本办法规定管理。</w:t>
      </w:r>
    </w:p>
    <w:p>
      <w:pPr>
        <w:widowControl/>
        <w:shd w:val="clear" w:color="auto" w:fill="FFFFFF"/>
        <w:spacing w:line="250" w:lineRule="atLeast"/>
        <w:ind w:firstLine="708" w:firstLineChars="253"/>
        <w:rPr>
          <w:color w:val="000000"/>
          <w:sz w:val="28"/>
          <w:szCs w:val="28"/>
        </w:rPr>
      </w:pPr>
      <w:r>
        <w:rPr>
          <w:color w:val="000000"/>
          <w:sz w:val="28"/>
          <w:szCs w:val="28"/>
        </w:rPr>
        <w:t>第三十</w:t>
      </w:r>
      <w:r>
        <w:rPr>
          <w:rFonts w:hint="eastAsia"/>
          <w:color w:val="000000"/>
          <w:sz w:val="28"/>
          <w:szCs w:val="28"/>
        </w:rPr>
        <w:t>三</w:t>
      </w:r>
      <w:r>
        <w:rPr>
          <w:color w:val="000000"/>
          <w:sz w:val="28"/>
          <w:szCs w:val="28"/>
        </w:rPr>
        <w:t>条本办法由海南省土地学会</w:t>
      </w:r>
      <w:r>
        <w:rPr>
          <w:rFonts w:hint="eastAsia"/>
          <w:color w:val="000000"/>
          <w:sz w:val="28"/>
          <w:szCs w:val="28"/>
        </w:rPr>
        <w:t>常务理事会</w:t>
      </w:r>
      <w:r>
        <w:rPr>
          <w:color w:val="000000"/>
          <w:sz w:val="28"/>
          <w:szCs w:val="28"/>
        </w:rPr>
        <w:t>负责解释。</w:t>
      </w:r>
    </w:p>
    <w:p>
      <w:pPr>
        <w:widowControl/>
        <w:shd w:val="clear" w:color="auto" w:fill="FFFFFF"/>
        <w:spacing w:line="250" w:lineRule="atLeast"/>
        <w:ind w:firstLine="708" w:firstLineChars="253"/>
        <w:rPr>
          <w:color w:val="000000"/>
          <w:sz w:val="28"/>
          <w:szCs w:val="28"/>
        </w:rPr>
      </w:pPr>
      <w:r>
        <w:rPr>
          <w:color w:val="000000"/>
          <w:sz w:val="28"/>
          <w:szCs w:val="28"/>
        </w:rPr>
        <w:t>第三十</w:t>
      </w:r>
      <w:r>
        <w:rPr>
          <w:rFonts w:hint="eastAsia"/>
          <w:color w:val="000000"/>
          <w:sz w:val="28"/>
          <w:szCs w:val="28"/>
        </w:rPr>
        <w:t>四</w:t>
      </w:r>
      <w:r>
        <w:rPr>
          <w:color w:val="000000"/>
          <w:sz w:val="28"/>
          <w:szCs w:val="28"/>
        </w:rPr>
        <w:t>条　本办法自发布之日起执行。</w:t>
      </w:r>
    </w:p>
    <w:p>
      <w:pPr>
        <w:widowControl/>
        <w:shd w:val="clear" w:color="auto" w:fill="FFFFFF"/>
        <w:spacing w:line="250" w:lineRule="atLeast"/>
        <w:ind w:firstLine="560" w:firstLineChars="200"/>
        <w:rPr>
          <w:color w:val="000000"/>
          <w:sz w:val="28"/>
          <w:szCs w:val="28"/>
        </w:rPr>
      </w:pPr>
      <w:r>
        <w:rPr>
          <w:color w:val="000000"/>
          <w:sz w:val="28"/>
          <w:szCs w:val="28"/>
        </w:rPr>
        <w:t>          </w:t>
      </w:r>
    </w:p>
    <w:p>
      <w:pPr>
        <w:widowControl/>
        <w:shd w:val="clear" w:color="auto" w:fill="FFFFFF"/>
        <w:spacing w:line="250" w:lineRule="atLeast"/>
        <w:ind w:firstLine="5040" w:firstLineChars="1800"/>
        <w:rPr>
          <w:color w:val="000000"/>
          <w:sz w:val="28"/>
          <w:szCs w:val="28"/>
        </w:rPr>
      </w:pPr>
      <w:r>
        <w:rPr>
          <w:color w:val="000000"/>
          <w:sz w:val="28"/>
          <w:szCs w:val="28"/>
        </w:rPr>
        <w:t>海南省土地</w:t>
      </w:r>
      <w:r>
        <w:rPr>
          <w:rFonts w:hint="eastAsia"/>
          <w:color w:val="000000"/>
          <w:sz w:val="28"/>
          <w:szCs w:val="28"/>
        </w:rPr>
        <w:t>学会</w:t>
      </w:r>
    </w:p>
    <w:p>
      <w:pPr>
        <w:rPr>
          <w:color w:val="000000"/>
        </w:rPr>
      </w:pPr>
      <w:r>
        <w:rPr>
          <w:rFonts w:hint="eastAsia"/>
          <w:color w:val="000000"/>
          <w:sz w:val="28"/>
          <w:szCs w:val="28"/>
        </w:rPr>
        <w:t xml:space="preserve">                                      2018.11.14</w:t>
      </w:r>
      <w:r>
        <w:rPr>
          <w:color w:val="000000"/>
          <w:sz w:val="28"/>
          <w:szCs w:val="28"/>
        </w:rPr>
        <w:t>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rPr>
          <w:rFonts w:ascii="仿宋_GB2312" w:hAnsi="仿宋" w:eastAsia="仿宋_GB2312"/>
          <w:sz w:val="32"/>
          <w:szCs w:val="32"/>
        </w:rPr>
      </w:pPr>
    </w:p>
    <w:p>
      <w:pPr>
        <w:widowControl/>
        <w:rPr>
          <w:rFonts w:ascii="仿宋_GB2312" w:hAnsi="仿宋" w:eastAsia="仿宋_GB2312"/>
          <w:sz w:val="32"/>
          <w:szCs w:val="32"/>
        </w:rPr>
      </w:pPr>
    </w:p>
    <w:p>
      <w:pPr>
        <w:widowControl/>
        <w:rPr>
          <w:rFonts w:ascii="仿宋_GB2312" w:hAnsi="仿宋" w:eastAsia="仿宋_GB2312"/>
          <w:sz w:val="32"/>
          <w:szCs w:val="32"/>
        </w:rPr>
      </w:pPr>
      <w:r>
        <w:rPr>
          <w:rFonts w:hint="eastAsia" w:ascii="仿宋_GB2312" w:hAnsi="仿宋" w:eastAsia="仿宋_GB2312"/>
          <w:sz w:val="32"/>
          <w:szCs w:val="32"/>
        </w:rPr>
        <w:t>附件2</w:t>
      </w:r>
    </w:p>
    <w:p>
      <w:pPr>
        <w:jc w:val="center"/>
        <w:rPr>
          <w:b/>
          <w:bCs/>
          <w:color w:val="000000"/>
          <w:sz w:val="44"/>
        </w:rPr>
      </w:pPr>
    </w:p>
    <w:p>
      <w:pPr>
        <w:jc w:val="center"/>
        <w:rPr>
          <w:b/>
          <w:bCs/>
          <w:color w:val="000000"/>
          <w:sz w:val="44"/>
        </w:rPr>
      </w:pPr>
    </w:p>
    <w:p>
      <w:pPr>
        <w:jc w:val="center"/>
        <w:rPr>
          <w:rFonts w:ascii="黑体" w:hAnsi="华文中宋" w:eastAsia="黑体"/>
          <w:b/>
          <w:bCs/>
          <w:color w:val="000000"/>
          <w:sz w:val="52"/>
          <w:szCs w:val="52"/>
        </w:rPr>
      </w:pPr>
      <w:r>
        <w:rPr>
          <w:rFonts w:hint="eastAsia" w:ascii="黑体" w:hAnsi="华文中宋" w:eastAsia="黑体"/>
          <w:b/>
          <w:bCs/>
          <w:color w:val="000000"/>
          <w:sz w:val="52"/>
          <w:szCs w:val="52"/>
        </w:rPr>
        <w:t>海南省土地规划机构资质评选推荐</w:t>
      </w:r>
    </w:p>
    <w:p>
      <w:pPr>
        <w:jc w:val="center"/>
        <w:rPr>
          <w:rFonts w:ascii="黑体" w:hAnsi="华文中宋" w:eastAsia="黑体"/>
          <w:b/>
          <w:bCs/>
          <w:color w:val="000000"/>
          <w:sz w:val="52"/>
          <w:szCs w:val="52"/>
        </w:rPr>
      </w:pPr>
      <w:r>
        <w:rPr>
          <w:rFonts w:hint="eastAsia" w:ascii="黑体" w:hAnsi="华文中宋" w:eastAsia="黑体"/>
          <w:b/>
          <w:bCs/>
          <w:color w:val="000000"/>
          <w:sz w:val="52"/>
          <w:szCs w:val="52"/>
        </w:rPr>
        <w:t>申  请  表</w:t>
      </w: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jc w:val="center"/>
        <w:rPr>
          <w:rFonts w:ascii="黑体" w:eastAsia="黑体"/>
          <w:color w:val="000000"/>
          <w:sz w:val="30"/>
        </w:rPr>
      </w:pPr>
    </w:p>
    <w:p>
      <w:pPr>
        <w:ind w:firstLine="640" w:firstLineChars="200"/>
        <w:rPr>
          <w:rFonts w:ascii="黑体" w:eastAsia="黑体"/>
          <w:color w:val="000000"/>
          <w:sz w:val="32"/>
        </w:rPr>
      </w:pPr>
      <w:r>
        <w:rPr>
          <w:rFonts w:hint="eastAsia" w:ascii="黑体" w:eastAsia="黑体"/>
          <w:color w:val="000000"/>
          <w:sz w:val="32"/>
        </w:rPr>
        <w:t>申请机构：</w:t>
      </w:r>
      <w:r>
        <w:rPr>
          <w:rFonts w:hint="eastAsia" w:ascii="黑体" w:eastAsia="黑体"/>
          <w:color w:val="000000"/>
          <w:sz w:val="32"/>
          <w:u w:val="single"/>
        </w:rPr>
        <w:t>　　　　　　　　　　　　　</w:t>
      </w:r>
      <w:r>
        <w:rPr>
          <w:rFonts w:hint="eastAsia" w:ascii="黑体" w:eastAsia="黑体"/>
          <w:color w:val="000000"/>
          <w:sz w:val="32"/>
        </w:rPr>
        <w:t>(盖章)</w:t>
      </w:r>
    </w:p>
    <w:p>
      <w:pPr>
        <w:ind w:firstLine="640" w:firstLineChars="200"/>
        <w:rPr>
          <w:rFonts w:ascii="黑体" w:eastAsia="黑体"/>
          <w:color w:val="000000"/>
          <w:sz w:val="32"/>
        </w:rPr>
      </w:pPr>
    </w:p>
    <w:p>
      <w:pPr>
        <w:ind w:firstLine="640" w:firstLineChars="200"/>
        <w:rPr>
          <w:rFonts w:ascii="黑体" w:eastAsia="黑体"/>
          <w:color w:val="000000"/>
          <w:sz w:val="32"/>
        </w:rPr>
      </w:pPr>
      <w:r>
        <w:rPr>
          <w:rFonts w:hint="eastAsia" w:ascii="黑体" w:eastAsia="黑体"/>
          <w:color w:val="000000"/>
          <w:sz w:val="32"/>
        </w:rPr>
        <w:t>填报日期：</w:t>
      </w:r>
      <w:r>
        <w:rPr>
          <w:rFonts w:hint="eastAsia" w:ascii="黑体" w:eastAsia="黑体"/>
          <w:color w:val="000000"/>
          <w:sz w:val="32"/>
          <w:u w:val="single"/>
        </w:rPr>
        <w:t>　　　　　　　　　　　　　</w:t>
      </w:r>
    </w:p>
    <w:p>
      <w:pPr>
        <w:rPr>
          <w:rFonts w:ascii="黑体" w:eastAsia="黑体"/>
          <w:color w:val="000000"/>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ascii="华文中宋" w:hAnsi="华文中宋" w:eastAsia="华文中宋"/>
          <w:color w:val="000000"/>
          <w:sz w:val="32"/>
          <w:szCs w:val="32"/>
        </w:rPr>
      </w:pPr>
    </w:p>
    <w:p>
      <w:pPr>
        <w:jc w:val="center"/>
        <w:rPr>
          <w:rFonts w:hint="eastAsia"/>
          <w:color w:val="000000"/>
          <w:sz w:val="36"/>
          <w:szCs w:val="32"/>
        </w:rPr>
      </w:pPr>
      <w:r>
        <w:rPr>
          <w:rFonts w:hint="eastAsia"/>
          <w:color w:val="000000"/>
          <w:sz w:val="36"/>
          <w:szCs w:val="32"/>
        </w:rPr>
        <w:t>《土地规划机构资质评选推荐申请表》填表说明</w:t>
      </w:r>
    </w:p>
    <w:p>
      <w:pPr>
        <w:rPr>
          <w:rFonts w:ascii="华文中宋" w:hAnsi="华文中宋" w:eastAsia="华文中宋"/>
          <w:color w:val="000000"/>
          <w:sz w:val="30"/>
          <w:szCs w:val="30"/>
        </w:rPr>
      </w:pPr>
    </w:p>
    <w:p>
      <w:pPr>
        <w:rPr>
          <w:rFonts w:ascii="仿宋_GB2312" w:eastAsia="仿宋_GB2312"/>
          <w:color w:val="000000"/>
          <w:sz w:val="28"/>
          <w:szCs w:val="28"/>
        </w:rPr>
      </w:pPr>
      <w:r>
        <w:rPr>
          <w:rFonts w:hint="eastAsia" w:ascii="仿宋_GB2312" w:eastAsia="仿宋_GB2312"/>
          <w:color w:val="000000"/>
          <w:sz w:val="28"/>
          <w:szCs w:val="28"/>
        </w:rPr>
        <w:t>1．本表一律采用计算机填写，用A4纸打印。</w:t>
      </w:r>
    </w:p>
    <w:p>
      <w:pPr>
        <w:rPr>
          <w:rFonts w:ascii="仿宋_GB2312" w:eastAsia="仿宋_GB2312"/>
          <w:color w:val="000000"/>
          <w:sz w:val="28"/>
          <w:szCs w:val="28"/>
        </w:rPr>
      </w:pPr>
      <w:r>
        <w:rPr>
          <w:rFonts w:hint="eastAsia" w:ascii="仿宋_GB2312" w:eastAsia="仿宋_GB2312"/>
          <w:color w:val="000000"/>
          <w:sz w:val="28"/>
          <w:szCs w:val="28"/>
        </w:rPr>
        <w:t>2．填写内容必须真实、准确。</w:t>
      </w:r>
    </w:p>
    <w:p>
      <w:pPr>
        <w:rPr>
          <w:rFonts w:ascii="仿宋_GB2312" w:eastAsia="仿宋_GB2312"/>
          <w:color w:val="000000"/>
          <w:sz w:val="28"/>
          <w:szCs w:val="28"/>
        </w:rPr>
      </w:pPr>
      <w:r>
        <w:rPr>
          <w:rFonts w:hint="eastAsia" w:ascii="仿宋_GB2312" w:eastAsia="仿宋_GB2312"/>
          <w:color w:val="000000"/>
          <w:sz w:val="28"/>
          <w:szCs w:val="28"/>
        </w:rPr>
        <w:t>3．机构名称：企业填写企业法人营业执照上的名称；事业单位填写事业单位法人证书上的名称，应与印章一致。</w:t>
      </w:r>
    </w:p>
    <w:p>
      <w:pPr>
        <w:rPr>
          <w:rFonts w:ascii="仿宋_GB2312" w:eastAsia="仿宋_GB2312"/>
          <w:color w:val="000000"/>
          <w:sz w:val="28"/>
          <w:szCs w:val="28"/>
        </w:rPr>
      </w:pPr>
      <w:r>
        <w:rPr>
          <w:rFonts w:hint="eastAsia" w:ascii="仿宋_GB2312" w:eastAsia="仿宋_GB2312"/>
          <w:color w:val="000000"/>
          <w:sz w:val="28"/>
          <w:szCs w:val="28"/>
        </w:rPr>
        <w:t>4．机构地址必须详细填写。</w:t>
      </w:r>
    </w:p>
    <w:p>
      <w:pPr>
        <w:rPr>
          <w:rFonts w:ascii="仿宋_GB2312" w:eastAsia="仿宋_GB2312"/>
          <w:color w:val="000000"/>
          <w:sz w:val="28"/>
          <w:szCs w:val="28"/>
        </w:rPr>
      </w:pPr>
      <w:r>
        <w:rPr>
          <w:rFonts w:hint="eastAsia" w:ascii="仿宋_GB2312" w:eastAsia="仿宋_GB2312"/>
          <w:color w:val="000000"/>
          <w:sz w:val="28"/>
          <w:szCs w:val="28"/>
        </w:rPr>
        <w:t>5．电话包括所在地区的区号和电话号码。</w:t>
      </w:r>
    </w:p>
    <w:p>
      <w:pPr>
        <w:rPr>
          <w:rFonts w:ascii="仿宋_GB2312" w:eastAsia="仿宋_GB2312"/>
          <w:color w:val="000000"/>
          <w:spacing w:val="-14"/>
          <w:sz w:val="28"/>
          <w:szCs w:val="28"/>
        </w:rPr>
      </w:pPr>
      <w:r>
        <w:rPr>
          <w:rFonts w:hint="eastAsia" w:ascii="仿宋_GB2312" w:eastAsia="仿宋_GB2312"/>
          <w:color w:val="000000"/>
          <w:sz w:val="28"/>
          <w:szCs w:val="28"/>
        </w:rPr>
        <w:t>6．</w:t>
      </w:r>
      <w:r>
        <w:rPr>
          <w:rFonts w:hint="eastAsia" w:ascii="仿宋_GB2312" w:eastAsia="仿宋_GB2312"/>
          <w:color w:val="000000"/>
          <w:spacing w:val="-14"/>
          <w:sz w:val="28"/>
          <w:szCs w:val="28"/>
        </w:rPr>
        <w:t>填写“主要技术装备和应用软件情况”一栏时，按照《海南省土地规划机构评选推荐管理办法》（试行）填写。</w:t>
      </w:r>
    </w:p>
    <w:p>
      <w:pPr>
        <w:rPr>
          <w:rFonts w:ascii="仿宋_GB2312" w:eastAsia="仿宋_GB2312"/>
          <w:color w:val="000000"/>
          <w:sz w:val="28"/>
          <w:szCs w:val="28"/>
        </w:rPr>
      </w:pPr>
      <w:r>
        <w:rPr>
          <w:rFonts w:hint="eastAsia" w:ascii="仿宋_GB2312" w:eastAsia="仿宋_GB2312"/>
          <w:color w:val="000000"/>
          <w:sz w:val="28"/>
          <w:szCs w:val="28"/>
        </w:rPr>
        <w:t>7．应如实提交规定的有关证明材料（见附件3）。</w:t>
      </w:r>
    </w:p>
    <w:p>
      <w:pPr>
        <w:rPr>
          <w:rFonts w:ascii="仿宋_GB2312" w:eastAsia="仿宋_GB2312"/>
          <w:color w:val="000000"/>
          <w:spacing w:val="-18"/>
          <w:sz w:val="28"/>
          <w:szCs w:val="28"/>
        </w:rPr>
      </w:pPr>
      <w:r>
        <w:rPr>
          <w:rFonts w:hint="eastAsia" w:ascii="仿宋_GB2312" w:eastAsia="仿宋_GB2312"/>
          <w:color w:val="000000"/>
          <w:sz w:val="28"/>
          <w:szCs w:val="28"/>
        </w:rPr>
        <w:t>8．</w:t>
      </w:r>
      <w:r>
        <w:rPr>
          <w:rFonts w:hint="eastAsia" w:ascii="仿宋_GB2312" w:eastAsia="仿宋_GB2312"/>
          <w:color w:val="000000"/>
          <w:spacing w:val="-18"/>
          <w:sz w:val="28"/>
          <w:szCs w:val="28"/>
        </w:rPr>
        <w:t>本表不要与其他证明材料装订在一起，且每份登记表单独装订。</w:t>
      </w:r>
    </w:p>
    <w:p>
      <w:pPr>
        <w:rPr>
          <w:rFonts w:ascii="仿宋_GB2312" w:eastAsia="仿宋_GB2312"/>
          <w:color w:val="000000"/>
          <w:sz w:val="28"/>
          <w:szCs w:val="28"/>
        </w:rPr>
      </w:pPr>
      <w:r>
        <w:rPr>
          <w:rFonts w:hint="eastAsia" w:ascii="仿宋_GB2312" w:eastAsia="仿宋_GB2312"/>
          <w:color w:val="000000"/>
          <w:sz w:val="28"/>
          <w:szCs w:val="28"/>
        </w:rPr>
        <w:t>9．本表提交一式</w:t>
      </w:r>
      <w:r>
        <w:rPr>
          <w:rFonts w:hint="eastAsia" w:ascii="仿宋_GB2312" w:eastAsia="仿宋_GB2312"/>
          <w:color w:val="000000"/>
          <w:sz w:val="28"/>
          <w:szCs w:val="28"/>
          <w:lang w:val="en-US" w:eastAsia="zh-CN"/>
        </w:rPr>
        <w:t>两</w:t>
      </w:r>
      <w:r>
        <w:rPr>
          <w:rFonts w:hint="eastAsia" w:ascii="仿宋_GB2312" w:eastAsia="仿宋_GB2312"/>
          <w:color w:val="000000"/>
          <w:sz w:val="28"/>
          <w:szCs w:val="28"/>
        </w:rPr>
        <w:t>份（原件）。</w:t>
      </w:r>
    </w:p>
    <w:p>
      <w:pPr>
        <w:rPr>
          <w:rFonts w:ascii="仿宋_GB2312" w:eastAsia="仿宋_GB2312"/>
          <w:color w:val="000000"/>
          <w:sz w:val="28"/>
          <w:szCs w:val="28"/>
        </w:rPr>
        <w:sectPr>
          <w:pgSz w:w="11906" w:h="16838"/>
          <w:pgMar w:top="1440" w:right="1800" w:bottom="1440" w:left="1800" w:header="851" w:footer="992" w:gutter="0"/>
          <w:cols w:space="720" w:num="1"/>
          <w:docGrid w:type="lines" w:linePitch="312" w:charSpace="0"/>
        </w:sectPr>
      </w:pPr>
      <w:r>
        <w:rPr>
          <w:rFonts w:hint="eastAsia" w:ascii="仿宋_GB2312" w:eastAsia="仿宋_GB2312"/>
          <w:color w:val="000000"/>
          <w:sz w:val="28"/>
          <w:szCs w:val="28"/>
        </w:rPr>
        <w:t>10．各栏纸面不</w:t>
      </w:r>
      <w:r>
        <w:rPr>
          <w:rFonts w:hint="eastAsia" w:ascii="仿宋_GB2312" w:eastAsia="仿宋_GB2312"/>
          <w:color w:val="000000"/>
          <w:sz w:val="28"/>
          <w:szCs w:val="28"/>
          <w:lang w:val="en-US" w:eastAsia="zh-CN"/>
        </w:rPr>
        <w:t>足</w:t>
      </w:r>
      <w:r>
        <w:rPr>
          <w:rFonts w:hint="eastAsia" w:ascii="仿宋_GB2312" w:eastAsia="仿宋_GB2312"/>
          <w:color w:val="000000"/>
          <w:sz w:val="28"/>
          <w:szCs w:val="28"/>
        </w:rPr>
        <w:t>时，可另加页。</w:t>
      </w:r>
    </w:p>
    <w:p>
      <w:pPr>
        <w:jc w:val="center"/>
        <w:rPr>
          <w:rFonts w:ascii="黑体" w:eastAsia="黑体"/>
          <w:color w:val="000000"/>
          <w:sz w:val="36"/>
          <w:szCs w:val="30"/>
        </w:rPr>
      </w:pPr>
      <w:r>
        <w:rPr>
          <w:rFonts w:hint="eastAsia" w:ascii="黑体" w:eastAsia="黑体"/>
          <w:color w:val="000000"/>
          <w:sz w:val="36"/>
          <w:szCs w:val="30"/>
        </w:rPr>
        <w:t>机构简介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4" w:hRule="atLeast"/>
          <w:jc w:val="center"/>
        </w:trPr>
        <w:tc>
          <w:tcPr>
            <w:tcW w:w="8288" w:type="dxa"/>
          </w:tcPr>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p>
          <w:p>
            <w:pPr>
              <w:jc w:val="right"/>
              <w:rPr>
                <w:rFonts w:ascii="仿宋_GB2312" w:eastAsia="仿宋_GB2312"/>
                <w:color w:val="000000"/>
                <w:sz w:val="28"/>
                <w:szCs w:val="28"/>
              </w:rPr>
            </w:pPr>
            <w:r>
              <w:rPr>
                <w:rFonts w:hint="eastAsia" w:ascii="仿宋_GB2312" w:eastAsia="仿宋_GB2312"/>
                <w:color w:val="000000"/>
                <w:sz w:val="28"/>
                <w:szCs w:val="28"/>
              </w:rPr>
              <w:t>（限800个汉字）</w:t>
            </w:r>
          </w:p>
        </w:tc>
      </w:tr>
    </w:tbl>
    <w:p>
      <w:pPr>
        <w:rPr>
          <w:rFonts w:ascii="黑体" w:eastAsia="黑体"/>
          <w:color w:val="000000"/>
          <w:sz w:val="36"/>
        </w:rPr>
      </w:pPr>
    </w:p>
    <w:p>
      <w:pPr>
        <w:rPr>
          <w:rFonts w:ascii="黑体" w:eastAsia="黑体"/>
          <w:color w:val="000000"/>
          <w:sz w:val="36"/>
        </w:rPr>
        <w:sectPr>
          <w:pgSz w:w="11906" w:h="16838"/>
          <w:pgMar w:top="1440" w:right="1800" w:bottom="1440" w:left="1800" w:header="851" w:footer="992" w:gutter="0"/>
          <w:cols w:space="720" w:num="1"/>
          <w:docGrid w:type="lines" w:linePitch="312" w:charSpace="0"/>
        </w:sectPr>
      </w:pPr>
    </w:p>
    <w:p>
      <w:pPr>
        <w:jc w:val="center"/>
        <w:rPr>
          <w:rFonts w:ascii="黑体" w:eastAsia="黑体"/>
          <w:color w:val="000000"/>
          <w:sz w:val="36"/>
          <w:szCs w:val="30"/>
        </w:rPr>
      </w:pPr>
      <w:r>
        <w:rPr>
          <w:rFonts w:hint="eastAsia" w:ascii="黑体" w:eastAsia="黑体"/>
          <w:color w:val="000000"/>
          <w:sz w:val="36"/>
          <w:szCs w:val="30"/>
        </w:rPr>
        <w:t>机构基本情况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90"/>
        <w:gridCol w:w="4370"/>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44" w:type="dxa"/>
            <w:gridSpan w:val="4"/>
            <w:vAlign w:val="center"/>
          </w:tcPr>
          <w:p>
            <w:pPr>
              <w:spacing w:line="260" w:lineRule="exact"/>
              <w:rPr>
                <w:rFonts w:ascii="仿宋_GB2312" w:eastAsia="仿宋_GB2312"/>
                <w:color w:val="000000"/>
                <w:sz w:val="24"/>
              </w:rPr>
            </w:pPr>
            <w:r>
              <w:rPr>
                <w:rFonts w:hint="eastAsia" w:ascii="仿宋_GB2312" w:eastAsia="仿宋_GB2312"/>
                <w:color w:val="000000"/>
                <w:sz w:val="24"/>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43" w:type="dxa"/>
            <w:gridSpan w:val="3"/>
            <w:vAlign w:val="center"/>
          </w:tcPr>
          <w:p>
            <w:pPr>
              <w:spacing w:line="260" w:lineRule="exact"/>
              <w:rPr>
                <w:rFonts w:ascii="仿宋_GB2312" w:eastAsia="仿宋_GB2312"/>
                <w:color w:val="000000"/>
                <w:sz w:val="24"/>
              </w:rPr>
            </w:pPr>
            <w:r>
              <w:rPr>
                <w:rFonts w:hint="eastAsia" w:ascii="仿宋_GB2312" w:eastAsia="仿宋_GB2312"/>
                <w:color w:val="000000"/>
                <w:sz w:val="24"/>
              </w:rPr>
              <w:t>机构性质：</w:t>
            </w:r>
          </w:p>
        </w:tc>
        <w:tc>
          <w:tcPr>
            <w:tcW w:w="6701"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644" w:type="dxa"/>
            <w:gridSpan w:val="4"/>
            <w:vAlign w:val="center"/>
          </w:tcPr>
          <w:p>
            <w:pPr>
              <w:spacing w:line="260" w:lineRule="exact"/>
              <w:rPr>
                <w:rFonts w:ascii="仿宋_GB2312" w:eastAsia="仿宋_GB2312"/>
                <w:color w:val="000000"/>
                <w:sz w:val="24"/>
              </w:rPr>
            </w:pPr>
            <w:r>
              <w:rPr>
                <w:rFonts w:hint="eastAsia" w:ascii="仿宋_GB2312" w:eastAsia="仿宋_GB2312"/>
                <w:color w:val="000000"/>
                <w:sz w:val="24"/>
              </w:rPr>
              <w:t>机构成立时间：     年     月     日          企业法人营业执照注册号或事业单位法人证书登记号：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3" w:type="dxa"/>
            <w:vMerge w:val="restart"/>
            <w:vAlign w:val="center"/>
          </w:tcPr>
          <w:p>
            <w:pPr>
              <w:spacing w:line="260" w:lineRule="exact"/>
              <w:rPr>
                <w:rFonts w:ascii="仿宋_GB2312" w:eastAsia="仿宋_GB2312"/>
                <w:color w:val="000000"/>
                <w:sz w:val="24"/>
              </w:rPr>
            </w:pPr>
            <w:r>
              <w:rPr>
                <w:rFonts w:hint="eastAsia" w:ascii="仿宋_GB2312" w:eastAsia="仿宋_GB2312"/>
                <w:color w:val="000000"/>
                <w:sz w:val="24"/>
              </w:rPr>
              <w:t>机构地址</w:t>
            </w:r>
          </w:p>
        </w:tc>
        <w:tc>
          <w:tcPr>
            <w:tcW w:w="12961" w:type="dxa"/>
            <w:gridSpan w:val="3"/>
            <w:vAlign w:val="center"/>
          </w:tcPr>
          <w:p>
            <w:pPr>
              <w:spacing w:line="260" w:lineRule="exact"/>
              <w:rPr>
                <w:rFonts w:ascii="仿宋_GB2312" w:eastAsia="仿宋_GB2312"/>
                <w:color w:val="000000"/>
                <w:sz w:val="24"/>
              </w:rPr>
            </w:pPr>
            <w:r>
              <w:rPr>
                <w:rFonts w:hint="eastAsia" w:ascii="仿宋_GB2312" w:eastAsia="仿宋_GB2312"/>
                <w:color w:val="000000"/>
                <w:sz w:val="24"/>
              </w:rPr>
              <w:t>办公地址：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83" w:type="dxa"/>
            <w:vMerge w:val="continue"/>
            <w:vAlign w:val="center"/>
          </w:tcPr>
          <w:p>
            <w:pPr>
              <w:spacing w:line="260" w:lineRule="exact"/>
              <w:rPr>
                <w:rFonts w:ascii="仿宋_GB2312" w:eastAsia="仿宋_GB2312"/>
                <w:color w:val="000000"/>
                <w:sz w:val="24"/>
              </w:rPr>
            </w:pPr>
          </w:p>
        </w:tc>
        <w:tc>
          <w:tcPr>
            <w:tcW w:w="12961" w:type="dxa"/>
            <w:gridSpan w:val="3"/>
            <w:vAlign w:val="center"/>
          </w:tcPr>
          <w:p>
            <w:pPr>
              <w:spacing w:line="260" w:lineRule="exact"/>
              <w:rPr>
                <w:rFonts w:ascii="仿宋_GB2312" w:eastAsia="仿宋_GB2312"/>
                <w:color w:val="000000"/>
                <w:sz w:val="24"/>
              </w:rPr>
            </w:pPr>
            <w:r>
              <w:rPr>
                <w:rFonts w:hint="eastAsia" w:ascii="仿宋_GB2312" w:eastAsia="仿宋_GB2312"/>
                <w:color w:val="000000"/>
                <w:sz w:val="24"/>
              </w:rPr>
              <w:t>通讯地址：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43" w:type="dxa"/>
            <w:gridSpan w:val="3"/>
            <w:vAlign w:val="center"/>
          </w:tcPr>
          <w:p>
            <w:pPr>
              <w:spacing w:line="260" w:lineRule="exact"/>
              <w:rPr>
                <w:rFonts w:ascii="仿宋_GB2312" w:eastAsia="仿宋_GB2312"/>
                <w:color w:val="000000"/>
                <w:sz w:val="24"/>
              </w:rPr>
            </w:pPr>
            <w:r>
              <w:rPr>
                <w:rFonts w:hint="eastAsia" w:ascii="仿宋_GB2312" w:eastAsia="仿宋_GB2312"/>
                <w:color w:val="000000"/>
                <w:sz w:val="24"/>
              </w:rPr>
              <w:t>法人代表：</w:t>
            </w:r>
          </w:p>
        </w:tc>
        <w:tc>
          <w:tcPr>
            <w:tcW w:w="6701"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573" w:type="dxa"/>
            <w:gridSpan w:val="2"/>
            <w:vAlign w:val="center"/>
          </w:tcPr>
          <w:p>
            <w:pPr>
              <w:spacing w:line="260" w:lineRule="exact"/>
              <w:rPr>
                <w:rFonts w:ascii="仿宋_GB2312" w:eastAsia="仿宋_GB2312"/>
                <w:color w:val="000000"/>
                <w:sz w:val="24"/>
              </w:rPr>
            </w:pPr>
          </w:p>
        </w:tc>
        <w:tc>
          <w:tcPr>
            <w:tcW w:w="11071" w:type="dxa"/>
            <w:gridSpan w:val="2"/>
            <w:vAlign w:val="center"/>
          </w:tcPr>
          <w:p>
            <w:pPr>
              <w:spacing w:line="2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573" w:type="dxa"/>
            <w:gridSpan w:val="2"/>
            <w:vMerge w:val="restart"/>
            <w:vAlign w:val="center"/>
          </w:tcPr>
          <w:p>
            <w:pPr>
              <w:spacing w:line="260" w:lineRule="exact"/>
              <w:rPr>
                <w:rFonts w:ascii="仿宋_GB2312" w:eastAsia="仿宋_GB2312"/>
                <w:color w:val="000000"/>
                <w:sz w:val="24"/>
              </w:rPr>
            </w:pPr>
            <w:r>
              <w:rPr>
                <w:rFonts w:hint="eastAsia" w:ascii="仿宋_GB2312" w:eastAsia="仿宋_GB2312"/>
                <w:color w:val="000000"/>
                <w:sz w:val="24"/>
              </w:rPr>
              <w:t xml:space="preserve">联系人： </w:t>
            </w:r>
          </w:p>
        </w:tc>
        <w:tc>
          <w:tcPr>
            <w:tcW w:w="4370"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办公室电话：</w:t>
            </w:r>
          </w:p>
        </w:tc>
        <w:tc>
          <w:tcPr>
            <w:tcW w:w="6701"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573" w:type="dxa"/>
            <w:gridSpan w:val="2"/>
            <w:vMerge w:val="continue"/>
            <w:vAlign w:val="center"/>
          </w:tcPr>
          <w:p>
            <w:pPr>
              <w:spacing w:line="260" w:lineRule="exact"/>
              <w:rPr>
                <w:rFonts w:ascii="仿宋_GB2312" w:eastAsia="仿宋_GB2312"/>
                <w:color w:val="000000"/>
                <w:sz w:val="24"/>
              </w:rPr>
            </w:pPr>
          </w:p>
        </w:tc>
        <w:tc>
          <w:tcPr>
            <w:tcW w:w="4370"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手      机：</w:t>
            </w:r>
          </w:p>
        </w:tc>
        <w:tc>
          <w:tcPr>
            <w:tcW w:w="6701" w:type="dxa"/>
            <w:vAlign w:val="center"/>
          </w:tcPr>
          <w:p>
            <w:pPr>
              <w:spacing w:line="260" w:lineRule="exact"/>
              <w:rPr>
                <w:rFonts w:ascii="仿宋_GB2312" w:eastAsia="仿宋_GB2312"/>
                <w:color w:val="000000"/>
                <w:sz w:val="24"/>
              </w:rPr>
            </w:pPr>
            <w:r>
              <w:rPr>
                <w:rFonts w:hint="eastAsia" w:ascii="仿宋_GB2312" w:eastAsia="仿宋_GB2312"/>
                <w:color w:val="000000"/>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6943" w:type="dxa"/>
            <w:gridSpan w:val="3"/>
            <w:tcBorders>
              <w:bottom w:val="single" w:color="auto" w:sz="4" w:space="0"/>
            </w:tcBorders>
            <w:vAlign w:val="center"/>
          </w:tcPr>
          <w:p>
            <w:pPr>
              <w:spacing w:line="260" w:lineRule="exact"/>
              <w:rPr>
                <w:rFonts w:ascii="仿宋_GB2312" w:eastAsia="仿宋_GB2312"/>
                <w:color w:val="000000"/>
                <w:sz w:val="24"/>
              </w:rPr>
            </w:pPr>
            <w:r>
              <w:rPr>
                <w:rFonts w:hint="eastAsia" w:ascii="仿宋_GB2312" w:eastAsia="仿宋_GB2312"/>
                <w:color w:val="000000"/>
                <w:sz w:val="24"/>
              </w:rPr>
              <w:t>机构当年在职职工总数：                        （人）</w:t>
            </w:r>
          </w:p>
        </w:tc>
        <w:tc>
          <w:tcPr>
            <w:tcW w:w="6701" w:type="dxa"/>
            <w:tcBorders>
              <w:bottom w:val="single" w:color="auto" w:sz="4" w:space="0"/>
            </w:tcBorders>
            <w:vAlign w:val="center"/>
          </w:tcPr>
          <w:p>
            <w:pPr>
              <w:spacing w:line="260" w:lineRule="exact"/>
              <w:rPr>
                <w:rFonts w:ascii="仿宋_GB2312" w:eastAsia="仿宋_GB2312"/>
                <w:color w:val="000000"/>
                <w:sz w:val="24"/>
              </w:rPr>
            </w:pPr>
            <w:r>
              <w:rPr>
                <w:rFonts w:hint="eastAsia" w:ascii="仿宋_GB2312" w:eastAsia="仿宋_GB2312"/>
                <w:color w:val="000000"/>
                <w:sz w:val="24"/>
              </w:rPr>
              <w:t>从事土地规划工作人员总数：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644" w:type="dxa"/>
            <w:gridSpan w:val="4"/>
            <w:vAlign w:val="center"/>
          </w:tcPr>
          <w:p>
            <w:pPr>
              <w:spacing w:line="260" w:lineRule="exact"/>
              <w:rPr>
                <w:rFonts w:ascii="仿宋_GB2312" w:eastAsia="仿宋_GB2312"/>
                <w:color w:val="000000"/>
                <w:sz w:val="24"/>
              </w:rPr>
            </w:pPr>
            <w:r>
              <w:rPr>
                <w:rFonts w:hint="eastAsia" w:ascii="仿宋_GB2312" w:eastAsia="仿宋_GB2312"/>
                <w:color w:val="000000"/>
                <w:sz w:val="24"/>
              </w:rPr>
              <w:t>从事土地规划工作办公用房面积：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573" w:type="dxa"/>
            <w:gridSpan w:val="2"/>
            <w:vAlign w:val="center"/>
          </w:tcPr>
          <w:p>
            <w:pPr>
              <w:spacing w:line="260" w:lineRule="exact"/>
              <w:rPr>
                <w:rFonts w:ascii="仿宋_GB2312" w:eastAsia="仿宋_GB2312"/>
                <w:color w:val="000000"/>
                <w:sz w:val="24"/>
              </w:rPr>
            </w:pPr>
            <w:r>
              <w:rPr>
                <w:rFonts w:hint="eastAsia" w:ascii="仿宋_GB2312" w:eastAsia="仿宋_GB2312"/>
                <w:color w:val="000000"/>
                <w:sz w:val="24"/>
              </w:rPr>
              <w:t>申请推荐类别：</w:t>
            </w:r>
          </w:p>
        </w:tc>
        <w:tc>
          <w:tcPr>
            <w:tcW w:w="11071" w:type="dxa"/>
            <w:gridSpan w:val="2"/>
            <w:vAlign w:val="center"/>
          </w:tcPr>
          <w:p>
            <w:pPr>
              <w:spacing w:line="260" w:lineRule="exact"/>
              <w:ind w:firstLine="720" w:firstLineChars="300"/>
              <w:rPr>
                <w:rFonts w:ascii="仿宋_GB2312" w:eastAsia="仿宋_GB2312"/>
                <w:color w:val="000000"/>
                <w:sz w:val="24"/>
              </w:rPr>
            </w:pPr>
            <w:r>
              <w:rPr>
                <w:rFonts w:hint="eastAsia" w:ascii="仿宋_GB2312" w:eastAsia="仿宋_GB2312"/>
                <w:color w:val="000000"/>
                <w:sz w:val="24"/>
              </w:rPr>
              <w:t>甲级                               乙级</w:t>
            </w:r>
          </w:p>
        </w:tc>
      </w:tr>
    </w:tbl>
    <w:p>
      <w:pPr>
        <w:adjustRightInd w:val="0"/>
        <w:snapToGrid w:val="0"/>
        <w:rPr>
          <w:rFonts w:ascii="黑体" w:eastAsia="黑体"/>
          <w:color w:val="000000"/>
          <w:sz w:val="18"/>
          <w:szCs w:val="18"/>
        </w:rPr>
        <w:sectPr>
          <w:pgSz w:w="16838" w:h="11906" w:orient="landscape"/>
          <w:pgMar w:top="1797" w:right="1440" w:bottom="1797" w:left="1440" w:header="851" w:footer="992" w:gutter="0"/>
          <w:cols w:space="720" w:num="1"/>
          <w:docGrid w:type="lines" w:linePitch="312" w:charSpace="0"/>
        </w:sectPr>
      </w:pPr>
    </w:p>
    <w:p>
      <w:pPr>
        <w:jc w:val="center"/>
        <w:rPr>
          <w:rFonts w:eastAsia="黑体"/>
          <w:color w:val="000000"/>
          <w:sz w:val="36"/>
        </w:rPr>
      </w:pPr>
      <w:r>
        <w:rPr>
          <w:rFonts w:hint="eastAsia" w:eastAsia="黑体"/>
          <w:color w:val="000000"/>
          <w:sz w:val="36"/>
        </w:rPr>
        <w:t>专业技术人员构成情况</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053"/>
        <w:gridCol w:w="580"/>
        <w:gridCol w:w="581"/>
        <w:gridCol w:w="581"/>
        <w:gridCol w:w="581"/>
        <w:gridCol w:w="581"/>
        <w:gridCol w:w="581"/>
        <w:gridCol w:w="580"/>
        <w:gridCol w:w="581"/>
        <w:gridCol w:w="581"/>
        <w:gridCol w:w="581"/>
        <w:gridCol w:w="581"/>
        <w:gridCol w:w="5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989" w:hRule="atLeast"/>
          <w:jc w:val="center"/>
        </w:trPr>
        <w:tc>
          <w:tcPr>
            <w:tcW w:w="1490" w:type="dxa"/>
            <w:gridSpan w:val="2"/>
          </w:tcPr>
          <w:p>
            <w:pPr>
              <w:rPr>
                <w:rFonts w:ascii="黑体" w:eastAsia="黑体"/>
                <w:color w:val="000000"/>
                <w:sz w:val="24"/>
              </w:rPr>
            </w:pPr>
            <w:r>
              <w:rPr>
                <w:rFonts w:ascii="黑体" w:eastAsia="黑体"/>
                <w:color w:val="000000"/>
                <w:sz w:val="24"/>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-13970</wp:posOffset>
                      </wp:positionV>
                      <wp:extent cx="638175" cy="1056640"/>
                      <wp:effectExtent l="3810" t="2540" r="5715" b="7620"/>
                      <wp:wrapNone/>
                      <wp:docPr id="2" name="直线 3"/>
                      <wp:cNvGraphicFramePr/>
                      <a:graphic xmlns:a="http://schemas.openxmlformats.org/drawingml/2006/main">
                        <a:graphicData uri="http://schemas.microsoft.com/office/word/2010/wordprocessingShape">
                          <wps:wsp>
                            <wps:cNvCnPr/>
                            <wps:spPr>
                              <a:xfrm>
                                <a:off x="0" y="0"/>
                                <a:ext cx="638175" cy="10566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7.65pt;margin-top:-1.1pt;height:83.2pt;width:50.25pt;z-index:251659264;mso-width-relative:page;mso-height-relative:page;" filled="f" stroked="t" coordsize="21600,21600" o:gfxdata="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miR/1wAAAAkBAAAPAAAAAAAAAAEAIAAAACIAAABkcnMvZG93bnJldi54bWxQSwECFAAU&#10;AAAACACHTuJAP6CML/IBAADuAwAADgAAAAAAAAABACAAAAAmAQAAZHJzL2Uyb0RvYy54bWxQSwUG&#10;AAAAAAYABgBZAQAAigUAAAAA&#10;">
                      <v:fill on="f" focussize="0,0"/>
                      <v:stroke color="#000000" joinstyle="round"/>
                      <v:imagedata o:title=""/>
                      <o:lock v:ext="edit" aspectratio="f"/>
                    </v:line>
                  </w:pict>
                </mc:Fallback>
              </mc:AlternateContent>
            </w:r>
            <w:r>
              <w:rPr>
                <w:rFonts w:ascii="黑体" w:eastAsia="黑体"/>
                <w:color w:val="000000"/>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594360</wp:posOffset>
                      </wp:positionV>
                      <wp:extent cx="635" cy="0"/>
                      <wp:effectExtent l="0" t="0" r="0" b="0"/>
                      <wp:wrapNone/>
                      <wp:docPr id="3"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6.8pt;height:0pt;width:0.05pt;z-index:251660288;mso-width-relative:page;mso-height-relative:page;" filled="f" stroked="t" coordsize="21600,21600" o:allowincell="f" o:gfxdata="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c1TV0QAAAAMB&#10;AAAPAAAAAAAAAAEAIAAAACIAAABkcnMvZG93bnJldi54bWxQSwECFAAUAAAACACHTuJA1TwdAOkB&#10;AADlAwAADgAAAAAAAAABACAAAAAgAQAAZHJzL2Uyb0RvYy54bWxQSwUGAAAAAAYABgBZAQAAewUA&#10;AAAA&#10;">
                      <v:fill on="f" focussize="0,0"/>
                      <v:stroke color="#000000" joinstyle="round"/>
                      <v:imagedata o:title=""/>
                      <o:lock v:ext="edit" aspectratio="f"/>
                    </v:line>
                  </w:pict>
                </mc:Fallback>
              </mc:AlternateContent>
            </w:r>
            <w:r>
              <w:rPr>
                <w:rFonts w:hint="eastAsia" w:ascii="黑体" w:eastAsia="黑体"/>
                <w:color w:val="000000"/>
                <w:sz w:val="24"/>
              </w:rPr>
              <w:t xml:space="preserve">        专</w:t>
            </w:r>
          </w:p>
          <w:p>
            <w:pPr>
              <w:rPr>
                <w:rFonts w:ascii="黑体" w:eastAsia="黑体"/>
                <w:color w:val="000000"/>
                <w:sz w:val="24"/>
              </w:rPr>
            </w:pPr>
            <w:r>
              <w:rPr>
                <w:rFonts w:hint="eastAsia" w:ascii="黑体" w:eastAsia="黑体"/>
                <w:color w:val="000000"/>
                <w:sz w:val="24"/>
              </w:rPr>
              <w:t xml:space="preserve"> 人     业</w:t>
            </w:r>
          </w:p>
          <w:p>
            <w:pPr>
              <w:rPr>
                <w:rFonts w:ascii="黑体" w:eastAsia="黑体"/>
                <w:color w:val="000000"/>
                <w:sz w:val="24"/>
              </w:rPr>
            </w:pPr>
            <w:r>
              <w:rPr>
                <w:rFonts w:ascii="黑体" w:eastAsia="黑体"/>
                <w:color w:val="000000"/>
                <w:sz w:val="24"/>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106680</wp:posOffset>
                      </wp:positionV>
                      <wp:extent cx="812165" cy="867410"/>
                      <wp:effectExtent l="3175" t="3175" r="3810" b="5715"/>
                      <wp:wrapNone/>
                      <wp:docPr id="4" name="直线 5"/>
                      <wp:cNvGraphicFramePr/>
                      <a:graphic xmlns:a="http://schemas.openxmlformats.org/drawingml/2006/main">
                        <a:graphicData uri="http://schemas.microsoft.com/office/word/2010/wordprocessingShape">
                          <wps:wsp>
                            <wps:cNvCnPr/>
                            <wps:spPr>
                              <a:xfrm>
                                <a:off x="0" y="0"/>
                                <a:ext cx="812165" cy="8674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3.6pt;margin-top:8.4pt;height:68.3pt;width:63.95pt;z-index:251661312;mso-width-relative:page;mso-height-relative:page;" filled="f" stroked="t" coordsize="21600,21600" o:gfxdata="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C38PXAAAACQEAAA8AAAAAAAAAAQAgAAAAIgAAAGRycy9kb3ducmV2LnhtbFBLAQIUABQA&#10;AAAIAIdO4kCDRs/Q8QEAAO0DAAAOAAAAAAAAAAEAIAAAACYBAABkcnMvZTJvRG9jLnhtbFBLBQYA&#10;AAAABgAGAFkBAACJBQAAAAA=&#10;">
                      <v:fill on="f" focussize="0,0"/>
                      <v:stroke color="#000000" joinstyle="round"/>
                      <v:imagedata o:title=""/>
                      <o:lock v:ext="edit" aspectratio="f"/>
                    </v:line>
                  </w:pict>
                </mc:Fallback>
              </mc:AlternateContent>
            </w:r>
            <w:r>
              <w:rPr>
                <w:rFonts w:hint="eastAsia" w:ascii="黑体" w:eastAsia="黑体"/>
                <w:color w:val="000000"/>
                <w:sz w:val="24"/>
              </w:rPr>
              <w:t xml:space="preserve">   数</w:t>
            </w:r>
          </w:p>
          <w:p>
            <w:pPr>
              <w:rPr>
                <w:rFonts w:ascii="黑体" w:eastAsia="黑体"/>
                <w:color w:val="000000"/>
                <w:sz w:val="24"/>
              </w:rPr>
            </w:pPr>
          </w:p>
        </w:tc>
        <w:tc>
          <w:tcPr>
            <w:tcW w:w="580" w:type="dxa"/>
            <w:vAlign w:val="center"/>
          </w:tcPr>
          <w:p>
            <w:pPr>
              <w:jc w:val="center"/>
              <w:rPr>
                <w:rFonts w:ascii="黑体" w:eastAsia="黑体"/>
                <w:color w:val="000000"/>
                <w:sz w:val="24"/>
              </w:rPr>
            </w:pPr>
            <w:r>
              <w:rPr>
                <w:rFonts w:hint="eastAsia" w:ascii="黑体" w:eastAsia="黑体"/>
                <w:color w:val="000000"/>
                <w:sz w:val="24"/>
              </w:rPr>
              <w:t>土地利用规划</w:t>
            </w:r>
          </w:p>
        </w:tc>
        <w:tc>
          <w:tcPr>
            <w:tcW w:w="581" w:type="dxa"/>
            <w:vAlign w:val="center"/>
          </w:tcPr>
          <w:p>
            <w:pPr>
              <w:jc w:val="center"/>
              <w:rPr>
                <w:rFonts w:ascii="黑体" w:eastAsia="黑体"/>
                <w:color w:val="000000"/>
                <w:sz w:val="24"/>
              </w:rPr>
            </w:pPr>
            <w:r>
              <w:rPr>
                <w:rFonts w:hint="eastAsia" w:ascii="黑体" w:eastAsia="黑体"/>
                <w:color w:val="000000"/>
                <w:sz w:val="24"/>
              </w:rPr>
              <w:t>土地管理</w:t>
            </w:r>
          </w:p>
        </w:tc>
        <w:tc>
          <w:tcPr>
            <w:tcW w:w="581" w:type="dxa"/>
            <w:vAlign w:val="center"/>
          </w:tcPr>
          <w:p>
            <w:pPr>
              <w:jc w:val="center"/>
              <w:rPr>
                <w:rFonts w:ascii="黑体" w:eastAsia="黑体"/>
                <w:color w:val="000000"/>
                <w:sz w:val="24"/>
              </w:rPr>
            </w:pPr>
            <w:r>
              <w:rPr>
                <w:rFonts w:hint="eastAsia" w:ascii="黑体" w:eastAsia="黑体"/>
                <w:color w:val="000000"/>
                <w:sz w:val="24"/>
              </w:rPr>
              <w:t>城市与区域规划</w:t>
            </w:r>
          </w:p>
        </w:tc>
        <w:tc>
          <w:tcPr>
            <w:tcW w:w="581" w:type="dxa"/>
            <w:vAlign w:val="center"/>
          </w:tcPr>
          <w:p>
            <w:pPr>
              <w:jc w:val="center"/>
              <w:rPr>
                <w:rFonts w:ascii="黑体" w:eastAsia="黑体"/>
                <w:color w:val="000000"/>
                <w:sz w:val="24"/>
              </w:rPr>
            </w:pPr>
            <w:r>
              <w:rPr>
                <w:rFonts w:hint="eastAsia" w:ascii="黑体" w:eastAsia="黑体"/>
                <w:color w:val="000000"/>
                <w:sz w:val="24"/>
              </w:rPr>
              <w:t>地</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理</w:t>
            </w:r>
          </w:p>
        </w:tc>
        <w:tc>
          <w:tcPr>
            <w:tcW w:w="581" w:type="dxa"/>
            <w:vAlign w:val="center"/>
          </w:tcPr>
          <w:p>
            <w:pPr>
              <w:jc w:val="center"/>
              <w:rPr>
                <w:rFonts w:ascii="黑体" w:eastAsia="黑体"/>
                <w:color w:val="000000"/>
                <w:sz w:val="24"/>
              </w:rPr>
            </w:pPr>
            <w:r>
              <w:rPr>
                <w:rFonts w:hint="eastAsia" w:ascii="黑体" w:eastAsia="黑体"/>
                <w:color w:val="000000"/>
                <w:sz w:val="24"/>
              </w:rPr>
              <w:t>农</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学</w:t>
            </w:r>
          </w:p>
        </w:tc>
        <w:tc>
          <w:tcPr>
            <w:tcW w:w="581" w:type="dxa"/>
            <w:vAlign w:val="center"/>
          </w:tcPr>
          <w:p>
            <w:pPr>
              <w:jc w:val="center"/>
              <w:rPr>
                <w:rFonts w:ascii="黑体" w:eastAsia="黑体"/>
                <w:color w:val="000000"/>
                <w:sz w:val="24"/>
              </w:rPr>
            </w:pPr>
            <w:r>
              <w:rPr>
                <w:rFonts w:hint="eastAsia" w:ascii="黑体" w:eastAsia="黑体"/>
                <w:color w:val="000000"/>
                <w:sz w:val="24"/>
              </w:rPr>
              <w:t>工</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程</w:t>
            </w:r>
          </w:p>
        </w:tc>
        <w:tc>
          <w:tcPr>
            <w:tcW w:w="580" w:type="dxa"/>
            <w:vAlign w:val="center"/>
          </w:tcPr>
          <w:p>
            <w:pPr>
              <w:jc w:val="center"/>
              <w:rPr>
                <w:rFonts w:ascii="黑体" w:eastAsia="黑体"/>
                <w:color w:val="000000"/>
                <w:sz w:val="24"/>
              </w:rPr>
            </w:pPr>
            <w:r>
              <w:rPr>
                <w:rFonts w:hint="eastAsia" w:ascii="黑体" w:eastAsia="黑体"/>
                <w:color w:val="000000"/>
                <w:sz w:val="24"/>
              </w:rPr>
              <w:t>环</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境</w:t>
            </w:r>
          </w:p>
        </w:tc>
        <w:tc>
          <w:tcPr>
            <w:tcW w:w="581" w:type="dxa"/>
            <w:vAlign w:val="center"/>
          </w:tcPr>
          <w:p>
            <w:pPr>
              <w:jc w:val="center"/>
              <w:rPr>
                <w:rFonts w:ascii="黑体" w:eastAsia="黑体"/>
                <w:color w:val="000000"/>
                <w:sz w:val="24"/>
              </w:rPr>
            </w:pPr>
            <w:r>
              <w:rPr>
                <w:rFonts w:hint="eastAsia" w:ascii="黑体" w:eastAsia="黑体"/>
                <w:color w:val="000000"/>
                <w:sz w:val="24"/>
              </w:rPr>
              <w:t>经</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济</w:t>
            </w:r>
          </w:p>
        </w:tc>
        <w:tc>
          <w:tcPr>
            <w:tcW w:w="581" w:type="dxa"/>
            <w:vAlign w:val="center"/>
          </w:tcPr>
          <w:p>
            <w:pPr>
              <w:jc w:val="center"/>
              <w:rPr>
                <w:rFonts w:ascii="黑体" w:eastAsia="黑体"/>
                <w:color w:val="000000"/>
                <w:sz w:val="24"/>
              </w:rPr>
            </w:pPr>
            <w:r>
              <w:rPr>
                <w:rFonts w:hint="eastAsia" w:ascii="黑体" w:eastAsia="黑体"/>
                <w:color w:val="000000"/>
                <w:sz w:val="24"/>
              </w:rPr>
              <w:t>法</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律</w:t>
            </w:r>
          </w:p>
        </w:tc>
        <w:tc>
          <w:tcPr>
            <w:tcW w:w="581" w:type="dxa"/>
            <w:vAlign w:val="center"/>
          </w:tcPr>
          <w:p>
            <w:pPr>
              <w:jc w:val="center"/>
              <w:rPr>
                <w:rFonts w:ascii="黑体" w:eastAsia="黑体"/>
                <w:color w:val="000000"/>
                <w:sz w:val="24"/>
              </w:rPr>
            </w:pPr>
            <w:r>
              <w:rPr>
                <w:rFonts w:hint="eastAsia" w:ascii="黑体" w:eastAsia="黑体"/>
                <w:color w:val="000000"/>
                <w:sz w:val="24"/>
              </w:rPr>
              <w:t>信</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息</w:t>
            </w:r>
          </w:p>
        </w:tc>
        <w:tc>
          <w:tcPr>
            <w:tcW w:w="581" w:type="dxa"/>
            <w:vAlign w:val="center"/>
          </w:tcPr>
          <w:p>
            <w:pPr>
              <w:jc w:val="center"/>
              <w:rPr>
                <w:rFonts w:ascii="黑体" w:eastAsia="黑体"/>
                <w:color w:val="000000"/>
                <w:sz w:val="24"/>
              </w:rPr>
            </w:pPr>
            <w:r>
              <w:rPr>
                <w:rFonts w:hint="eastAsia" w:ascii="黑体" w:eastAsia="黑体"/>
                <w:color w:val="000000"/>
                <w:sz w:val="24"/>
              </w:rPr>
              <w:t>其</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他</w:t>
            </w:r>
          </w:p>
        </w:tc>
        <w:tc>
          <w:tcPr>
            <w:tcW w:w="581" w:type="dxa"/>
            <w:vAlign w:val="center"/>
          </w:tcPr>
          <w:p>
            <w:pPr>
              <w:jc w:val="center"/>
              <w:rPr>
                <w:rFonts w:ascii="黑体" w:eastAsia="黑体"/>
                <w:color w:val="000000"/>
                <w:sz w:val="24"/>
              </w:rPr>
            </w:pPr>
            <w:r>
              <w:rPr>
                <w:rFonts w:hint="eastAsia" w:ascii="黑体" w:eastAsia="黑体"/>
                <w:color w:val="000000"/>
                <w:sz w:val="24"/>
              </w:rPr>
              <w:t>合</w:t>
            </w:r>
          </w:p>
          <w:p>
            <w:pPr>
              <w:jc w:val="center"/>
              <w:rPr>
                <w:rFonts w:ascii="黑体" w:eastAsia="黑体"/>
                <w:color w:val="000000"/>
                <w:sz w:val="24"/>
              </w:rPr>
            </w:pPr>
          </w:p>
          <w:p>
            <w:pPr>
              <w:jc w:val="center"/>
              <w:rPr>
                <w:rFonts w:ascii="黑体" w:eastAsia="黑体"/>
                <w:color w:val="000000"/>
                <w:sz w:val="24"/>
              </w:rPr>
            </w:pPr>
          </w:p>
          <w:p>
            <w:pPr>
              <w:jc w:val="center"/>
              <w:rPr>
                <w:rFonts w:ascii="黑体" w:eastAsia="黑体"/>
                <w:color w:val="000000"/>
                <w:sz w:val="24"/>
              </w:rPr>
            </w:pPr>
            <w:r>
              <w:rPr>
                <w:rFonts w:hint="eastAsia" w:ascii="黑体" w:eastAsia="黑体"/>
                <w:color w:val="000000"/>
                <w:sz w:val="24"/>
              </w:rPr>
              <w:t>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490" w:type="dxa"/>
            <w:gridSpan w:val="2"/>
            <w:vAlign w:val="center"/>
          </w:tcPr>
          <w:p>
            <w:pPr>
              <w:jc w:val="center"/>
              <w:rPr>
                <w:rFonts w:ascii="仿宋_GB2312" w:eastAsia="仿宋_GB2312"/>
                <w:color w:val="000000"/>
                <w:sz w:val="24"/>
              </w:rPr>
            </w:pPr>
            <w:r>
              <w:rPr>
                <w:rFonts w:hint="eastAsia" w:ascii="仿宋_GB2312" w:eastAsia="仿宋_GB2312"/>
                <w:color w:val="000000"/>
                <w:sz w:val="24"/>
              </w:rPr>
              <w:t>总  数</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restart"/>
            <w:vAlign w:val="center"/>
          </w:tcPr>
          <w:p>
            <w:pPr>
              <w:rPr>
                <w:rFonts w:ascii="仿宋_GB2312" w:eastAsia="仿宋_GB2312"/>
                <w:color w:val="000000"/>
                <w:sz w:val="24"/>
              </w:rPr>
            </w:pPr>
            <w:r>
              <w:rPr>
                <w:rFonts w:hint="eastAsia" w:ascii="仿宋_GB2312" w:eastAsia="仿宋_GB2312"/>
                <w:color w:val="000000"/>
                <w:sz w:val="24"/>
              </w:rPr>
              <w:t>按</w:t>
            </w:r>
          </w:p>
          <w:p>
            <w:pPr>
              <w:rPr>
                <w:rFonts w:ascii="仿宋_GB2312" w:eastAsia="仿宋_GB2312"/>
                <w:color w:val="000000"/>
                <w:sz w:val="24"/>
              </w:rPr>
            </w:pPr>
            <w:r>
              <w:rPr>
                <w:rFonts w:hint="eastAsia" w:ascii="仿宋_GB2312" w:eastAsia="仿宋_GB2312"/>
                <w:color w:val="000000"/>
                <w:sz w:val="24"/>
              </w:rPr>
              <w:t>职称分</w:t>
            </w: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高级</w:t>
            </w:r>
          </w:p>
          <w:p>
            <w:pPr>
              <w:jc w:val="center"/>
              <w:rPr>
                <w:rFonts w:ascii="仿宋_GB2312" w:eastAsia="仿宋_GB2312"/>
                <w:color w:val="000000"/>
                <w:sz w:val="24"/>
              </w:rPr>
            </w:pPr>
            <w:r>
              <w:rPr>
                <w:rFonts w:hint="eastAsia" w:ascii="仿宋_GB2312" w:eastAsia="仿宋_GB2312"/>
                <w:color w:val="000000"/>
                <w:sz w:val="24"/>
              </w:rPr>
              <w:t>职称</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continue"/>
            <w:vAlign w:val="center"/>
          </w:tcPr>
          <w:p>
            <w:pPr>
              <w:rPr>
                <w:rFonts w:ascii="仿宋_GB2312" w:eastAsia="仿宋_GB2312"/>
                <w:color w:val="000000"/>
                <w:sz w:val="24"/>
              </w:rPr>
            </w:pP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中级</w:t>
            </w:r>
          </w:p>
          <w:p>
            <w:pPr>
              <w:jc w:val="center"/>
              <w:rPr>
                <w:rFonts w:ascii="仿宋_GB2312" w:eastAsia="仿宋_GB2312"/>
                <w:color w:val="000000"/>
                <w:sz w:val="24"/>
              </w:rPr>
            </w:pPr>
            <w:r>
              <w:rPr>
                <w:rFonts w:hint="eastAsia" w:ascii="仿宋_GB2312" w:eastAsia="仿宋_GB2312"/>
                <w:color w:val="000000"/>
                <w:sz w:val="24"/>
              </w:rPr>
              <w:t>职称</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continue"/>
            <w:vAlign w:val="center"/>
          </w:tcPr>
          <w:p>
            <w:pPr>
              <w:rPr>
                <w:rFonts w:ascii="仿宋_GB2312" w:eastAsia="仿宋_GB2312"/>
                <w:color w:val="000000"/>
                <w:sz w:val="24"/>
              </w:rPr>
            </w:pP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初级</w:t>
            </w:r>
          </w:p>
          <w:p>
            <w:pPr>
              <w:jc w:val="center"/>
              <w:rPr>
                <w:rFonts w:ascii="仿宋_GB2312" w:eastAsia="仿宋_GB2312"/>
                <w:color w:val="000000"/>
                <w:sz w:val="24"/>
              </w:rPr>
            </w:pPr>
            <w:r>
              <w:rPr>
                <w:rFonts w:hint="eastAsia" w:ascii="仿宋_GB2312" w:eastAsia="仿宋_GB2312"/>
                <w:color w:val="000000"/>
                <w:sz w:val="24"/>
              </w:rPr>
              <w:t>职称</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restart"/>
            <w:vAlign w:val="center"/>
          </w:tcPr>
          <w:p>
            <w:pPr>
              <w:rPr>
                <w:rFonts w:ascii="仿宋_GB2312" w:eastAsia="仿宋_GB2312"/>
                <w:color w:val="000000"/>
                <w:sz w:val="24"/>
              </w:rPr>
            </w:pPr>
            <w:r>
              <w:rPr>
                <w:rFonts w:hint="eastAsia" w:ascii="仿宋_GB2312" w:eastAsia="仿宋_GB2312"/>
                <w:color w:val="000000"/>
                <w:sz w:val="24"/>
              </w:rPr>
              <w:t>按学历分</w:t>
            </w: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研究生及以上学历</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continue"/>
            <w:vAlign w:val="center"/>
          </w:tcPr>
          <w:p>
            <w:pPr>
              <w:rPr>
                <w:rFonts w:ascii="仿宋_GB2312" w:eastAsia="仿宋_GB2312"/>
                <w:color w:val="000000"/>
                <w:sz w:val="24"/>
              </w:rPr>
            </w:pP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大学</w:t>
            </w:r>
          </w:p>
          <w:p>
            <w:pPr>
              <w:jc w:val="center"/>
              <w:rPr>
                <w:rFonts w:ascii="仿宋_GB2312" w:eastAsia="仿宋_GB2312"/>
                <w:color w:val="000000"/>
                <w:sz w:val="24"/>
              </w:rPr>
            </w:pPr>
            <w:r>
              <w:rPr>
                <w:rFonts w:hint="eastAsia" w:ascii="仿宋_GB2312" w:eastAsia="仿宋_GB2312"/>
                <w:color w:val="000000"/>
                <w:sz w:val="24"/>
              </w:rPr>
              <w:t>学历</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continue"/>
            <w:vAlign w:val="center"/>
          </w:tcPr>
          <w:p>
            <w:pPr>
              <w:rPr>
                <w:rFonts w:ascii="仿宋_GB2312" w:eastAsia="仿宋_GB2312"/>
                <w:color w:val="000000"/>
                <w:sz w:val="24"/>
              </w:rPr>
            </w:pP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大专</w:t>
            </w:r>
          </w:p>
          <w:p>
            <w:pPr>
              <w:jc w:val="center"/>
              <w:rPr>
                <w:rFonts w:ascii="仿宋_GB2312" w:eastAsia="仿宋_GB2312"/>
                <w:color w:val="000000"/>
                <w:sz w:val="24"/>
              </w:rPr>
            </w:pPr>
            <w:r>
              <w:rPr>
                <w:rFonts w:hint="eastAsia" w:ascii="仿宋_GB2312" w:eastAsia="仿宋_GB2312"/>
                <w:color w:val="000000"/>
                <w:sz w:val="24"/>
              </w:rPr>
              <w:t>学历</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437" w:type="dxa"/>
            <w:vMerge w:val="continue"/>
            <w:vAlign w:val="center"/>
          </w:tcPr>
          <w:p>
            <w:pPr>
              <w:rPr>
                <w:rFonts w:ascii="仿宋_GB2312" w:eastAsia="仿宋_GB2312"/>
                <w:color w:val="000000"/>
                <w:sz w:val="24"/>
              </w:rPr>
            </w:pPr>
          </w:p>
        </w:tc>
        <w:tc>
          <w:tcPr>
            <w:tcW w:w="1053" w:type="dxa"/>
            <w:vAlign w:val="center"/>
          </w:tcPr>
          <w:p>
            <w:pPr>
              <w:jc w:val="center"/>
              <w:rPr>
                <w:rFonts w:ascii="仿宋_GB2312" w:eastAsia="仿宋_GB2312"/>
                <w:color w:val="000000"/>
                <w:sz w:val="24"/>
              </w:rPr>
            </w:pPr>
            <w:r>
              <w:rPr>
                <w:rFonts w:hint="eastAsia" w:ascii="仿宋_GB2312" w:eastAsia="仿宋_GB2312"/>
                <w:color w:val="000000"/>
                <w:sz w:val="24"/>
              </w:rPr>
              <w:t>中专</w:t>
            </w:r>
          </w:p>
          <w:p>
            <w:pPr>
              <w:jc w:val="center"/>
              <w:rPr>
                <w:rFonts w:ascii="仿宋_GB2312" w:eastAsia="仿宋_GB2312"/>
                <w:color w:val="000000"/>
                <w:sz w:val="24"/>
              </w:rPr>
            </w:pPr>
            <w:r>
              <w:rPr>
                <w:rFonts w:hint="eastAsia" w:ascii="仿宋_GB2312" w:eastAsia="仿宋_GB2312"/>
                <w:color w:val="000000"/>
                <w:sz w:val="24"/>
              </w:rPr>
              <w:t>学历</w:t>
            </w: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0"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c>
          <w:tcPr>
            <w:tcW w:w="581" w:type="dxa"/>
            <w:vAlign w:val="center"/>
          </w:tcPr>
          <w:p>
            <w:pPr>
              <w:rPr>
                <w:rFonts w:ascii="仿宋_GB2312" w:eastAsia="仿宋_GB2312"/>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1490" w:type="dxa"/>
            <w:gridSpan w:val="2"/>
            <w:vAlign w:val="center"/>
          </w:tcPr>
          <w:p>
            <w:pPr>
              <w:jc w:val="center"/>
              <w:rPr>
                <w:rFonts w:ascii="仿宋_GB2312" w:eastAsia="仿宋_GB2312"/>
                <w:color w:val="000000"/>
                <w:sz w:val="24"/>
              </w:rPr>
            </w:pPr>
            <w:r>
              <w:rPr>
                <w:rFonts w:hint="eastAsia" w:ascii="仿宋_GB2312" w:eastAsia="仿宋_GB2312"/>
                <w:color w:val="000000"/>
                <w:sz w:val="24"/>
              </w:rPr>
              <w:t>备  注</w:t>
            </w:r>
          </w:p>
        </w:tc>
        <w:tc>
          <w:tcPr>
            <w:tcW w:w="580"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0"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c>
          <w:tcPr>
            <w:tcW w:w="581" w:type="dxa"/>
            <w:vAlign w:val="center"/>
          </w:tcPr>
          <w:p>
            <w:pPr>
              <w:jc w:val="center"/>
              <w:rPr>
                <w:rFonts w:ascii="仿宋_GB2312" w:eastAsia="仿宋_GB2312"/>
                <w:color w:val="000000"/>
                <w:sz w:val="24"/>
              </w:rPr>
            </w:pPr>
          </w:p>
        </w:tc>
      </w:tr>
    </w:tbl>
    <w:p>
      <w:pPr>
        <w:rPr>
          <w:color w:val="000000"/>
        </w:rPr>
        <w:sectPr>
          <w:pgSz w:w="11906" w:h="16838"/>
          <w:pgMar w:top="1440" w:right="1800" w:bottom="1440" w:left="1800" w:header="851" w:footer="992" w:gutter="0"/>
          <w:cols w:space="720" w:num="1"/>
          <w:docGrid w:type="lines" w:linePitch="312" w:charSpace="0"/>
        </w:sectPr>
      </w:pPr>
    </w:p>
    <w:p>
      <w:pPr>
        <w:jc w:val="center"/>
        <w:rPr>
          <w:rFonts w:eastAsia="黑体"/>
          <w:color w:val="000000"/>
          <w:sz w:val="36"/>
        </w:rPr>
      </w:pPr>
      <w:r>
        <w:rPr>
          <w:rFonts w:hint="eastAsia" w:eastAsia="黑体"/>
          <w:color w:val="000000"/>
          <w:sz w:val="36"/>
        </w:rPr>
        <w:t>专业技术人员概况</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8"/>
        <w:gridCol w:w="720"/>
        <w:gridCol w:w="540"/>
        <w:gridCol w:w="540"/>
        <w:gridCol w:w="459"/>
        <w:gridCol w:w="540"/>
        <w:gridCol w:w="1080"/>
        <w:gridCol w:w="720"/>
        <w:gridCol w:w="900"/>
        <w:gridCol w:w="720"/>
        <w:gridCol w:w="720"/>
        <w:gridCol w:w="720"/>
        <w:gridCol w:w="900"/>
        <w:gridCol w:w="900"/>
        <w:gridCol w:w="1080"/>
        <w:gridCol w:w="900"/>
        <w:gridCol w:w="10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458" w:type="dxa"/>
            <w:vMerge w:val="restart"/>
            <w:vAlign w:val="center"/>
          </w:tcPr>
          <w:p>
            <w:pPr>
              <w:jc w:val="center"/>
              <w:rPr>
                <w:rFonts w:ascii="黑体" w:eastAsia="黑体"/>
                <w:color w:val="000000"/>
                <w:szCs w:val="21"/>
              </w:rPr>
            </w:pPr>
            <w:r>
              <w:rPr>
                <w:rFonts w:hint="eastAsia" w:ascii="黑体" w:eastAsia="黑体"/>
                <w:color w:val="000000"/>
                <w:szCs w:val="21"/>
              </w:rPr>
              <w:t>序号</w:t>
            </w:r>
          </w:p>
        </w:tc>
        <w:tc>
          <w:tcPr>
            <w:tcW w:w="720" w:type="dxa"/>
            <w:vMerge w:val="restart"/>
            <w:vAlign w:val="center"/>
          </w:tcPr>
          <w:p>
            <w:pPr>
              <w:jc w:val="center"/>
              <w:rPr>
                <w:rFonts w:ascii="黑体" w:eastAsia="黑体"/>
                <w:color w:val="000000"/>
                <w:szCs w:val="21"/>
              </w:rPr>
            </w:pPr>
            <w:r>
              <w:rPr>
                <w:rFonts w:hint="eastAsia" w:ascii="黑体" w:eastAsia="黑体"/>
                <w:color w:val="000000"/>
                <w:szCs w:val="21"/>
              </w:rPr>
              <w:t>姓名</w:t>
            </w:r>
          </w:p>
        </w:tc>
        <w:tc>
          <w:tcPr>
            <w:tcW w:w="540" w:type="dxa"/>
            <w:vMerge w:val="restart"/>
            <w:vAlign w:val="center"/>
          </w:tcPr>
          <w:p>
            <w:pPr>
              <w:jc w:val="center"/>
              <w:rPr>
                <w:rFonts w:ascii="黑体" w:eastAsia="黑体"/>
                <w:color w:val="000000"/>
                <w:szCs w:val="21"/>
              </w:rPr>
            </w:pPr>
            <w:r>
              <w:rPr>
                <w:rFonts w:hint="eastAsia" w:ascii="黑体" w:eastAsia="黑体"/>
                <w:color w:val="000000"/>
                <w:szCs w:val="21"/>
              </w:rPr>
              <w:t>性别</w:t>
            </w:r>
          </w:p>
        </w:tc>
        <w:tc>
          <w:tcPr>
            <w:tcW w:w="540" w:type="dxa"/>
            <w:vMerge w:val="restart"/>
            <w:vAlign w:val="center"/>
          </w:tcPr>
          <w:p>
            <w:pPr>
              <w:jc w:val="center"/>
              <w:rPr>
                <w:rFonts w:ascii="黑体" w:eastAsia="黑体"/>
                <w:color w:val="000000"/>
                <w:szCs w:val="21"/>
              </w:rPr>
            </w:pPr>
            <w:r>
              <w:rPr>
                <w:rFonts w:hint="eastAsia" w:ascii="黑体" w:eastAsia="黑体"/>
                <w:color w:val="000000"/>
                <w:szCs w:val="21"/>
              </w:rPr>
              <w:t>年龄</w:t>
            </w:r>
          </w:p>
        </w:tc>
        <w:tc>
          <w:tcPr>
            <w:tcW w:w="3699" w:type="dxa"/>
            <w:gridSpan w:val="5"/>
            <w:vAlign w:val="center"/>
          </w:tcPr>
          <w:p>
            <w:pPr>
              <w:jc w:val="center"/>
              <w:rPr>
                <w:rFonts w:ascii="黑体" w:eastAsia="黑体"/>
                <w:color w:val="000000"/>
                <w:szCs w:val="21"/>
              </w:rPr>
            </w:pPr>
            <w:r>
              <w:rPr>
                <w:rFonts w:hint="eastAsia" w:ascii="黑体" w:eastAsia="黑体"/>
                <w:color w:val="000000"/>
                <w:szCs w:val="21"/>
              </w:rPr>
              <w:t>毕业情况</w:t>
            </w:r>
          </w:p>
        </w:tc>
        <w:tc>
          <w:tcPr>
            <w:tcW w:w="1440" w:type="dxa"/>
            <w:gridSpan w:val="2"/>
            <w:vAlign w:val="center"/>
          </w:tcPr>
          <w:p>
            <w:pPr>
              <w:jc w:val="center"/>
              <w:rPr>
                <w:rFonts w:ascii="黑体" w:eastAsia="黑体"/>
                <w:color w:val="000000"/>
                <w:szCs w:val="21"/>
              </w:rPr>
            </w:pPr>
            <w:r>
              <w:rPr>
                <w:rFonts w:hint="eastAsia" w:ascii="黑体" w:eastAsia="黑体"/>
                <w:color w:val="000000"/>
                <w:szCs w:val="21"/>
              </w:rPr>
              <w:t>职 称</w:t>
            </w:r>
          </w:p>
        </w:tc>
        <w:tc>
          <w:tcPr>
            <w:tcW w:w="720" w:type="dxa"/>
            <w:vMerge w:val="restart"/>
            <w:vAlign w:val="center"/>
          </w:tcPr>
          <w:p>
            <w:pPr>
              <w:jc w:val="center"/>
              <w:rPr>
                <w:rFonts w:ascii="黑体" w:eastAsia="黑体"/>
                <w:color w:val="000000"/>
                <w:szCs w:val="21"/>
              </w:rPr>
            </w:pPr>
            <w:r>
              <w:rPr>
                <w:rFonts w:hint="eastAsia" w:ascii="黑体" w:eastAsia="黑体"/>
                <w:color w:val="000000"/>
                <w:szCs w:val="21"/>
              </w:rPr>
              <w:t>职务</w:t>
            </w:r>
          </w:p>
        </w:tc>
        <w:tc>
          <w:tcPr>
            <w:tcW w:w="900" w:type="dxa"/>
            <w:vMerge w:val="restart"/>
            <w:vAlign w:val="center"/>
          </w:tcPr>
          <w:p>
            <w:pPr>
              <w:jc w:val="center"/>
              <w:rPr>
                <w:rFonts w:ascii="黑体" w:eastAsia="黑体"/>
                <w:color w:val="000000"/>
                <w:szCs w:val="21"/>
              </w:rPr>
            </w:pPr>
            <w:r>
              <w:rPr>
                <w:rFonts w:hint="eastAsia" w:ascii="黑体" w:eastAsia="黑体"/>
                <w:color w:val="000000"/>
                <w:szCs w:val="21"/>
              </w:rPr>
              <w:t>从事土地规划工作年限</w:t>
            </w:r>
          </w:p>
        </w:tc>
        <w:tc>
          <w:tcPr>
            <w:tcW w:w="900" w:type="dxa"/>
            <w:vMerge w:val="restart"/>
            <w:vAlign w:val="center"/>
          </w:tcPr>
          <w:p>
            <w:pPr>
              <w:jc w:val="center"/>
              <w:rPr>
                <w:rFonts w:ascii="黑体" w:eastAsia="黑体"/>
                <w:color w:val="000000"/>
                <w:szCs w:val="21"/>
              </w:rPr>
            </w:pPr>
            <w:r>
              <w:rPr>
                <w:rFonts w:hint="eastAsia" w:ascii="黑体" w:eastAsia="黑体"/>
                <w:color w:val="000000"/>
                <w:szCs w:val="21"/>
              </w:rPr>
              <w:t>现从事的工作</w:t>
            </w:r>
          </w:p>
        </w:tc>
        <w:tc>
          <w:tcPr>
            <w:tcW w:w="1080" w:type="dxa"/>
            <w:vMerge w:val="restart"/>
            <w:vAlign w:val="center"/>
          </w:tcPr>
          <w:p>
            <w:pPr>
              <w:jc w:val="center"/>
              <w:rPr>
                <w:rFonts w:ascii="黑体" w:eastAsia="黑体"/>
                <w:color w:val="000000"/>
                <w:szCs w:val="21"/>
              </w:rPr>
            </w:pPr>
            <w:r>
              <w:rPr>
                <w:rFonts w:hint="eastAsia" w:ascii="黑体" w:eastAsia="黑体"/>
                <w:color w:val="000000"/>
                <w:szCs w:val="21"/>
              </w:rPr>
              <w:t>身份证号码</w:t>
            </w:r>
          </w:p>
        </w:tc>
        <w:tc>
          <w:tcPr>
            <w:tcW w:w="1915" w:type="dxa"/>
            <w:gridSpan w:val="2"/>
            <w:vAlign w:val="center"/>
          </w:tcPr>
          <w:p>
            <w:pPr>
              <w:jc w:val="center"/>
              <w:rPr>
                <w:rFonts w:ascii="黑体" w:eastAsia="黑体"/>
                <w:color w:val="000000"/>
                <w:szCs w:val="21"/>
              </w:rPr>
            </w:pPr>
            <w:r>
              <w:rPr>
                <w:rFonts w:hint="eastAsia" w:ascii="黑体" w:eastAsia="黑体"/>
                <w:color w:val="000000"/>
                <w:szCs w:val="21"/>
              </w:rPr>
              <w:t>用工形式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458" w:type="dxa"/>
            <w:vMerge w:val="continue"/>
            <w:vAlign w:val="center"/>
          </w:tcPr>
          <w:p>
            <w:pPr>
              <w:jc w:val="center"/>
              <w:rPr>
                <w:rFonts w:ascii="黑体" w:eastAsia="黑体"/>
                <w:color w:val="000000"/>
                <w:szCs w:val="21"/>
              </w:rPr>
            </w:pPr>
          </w:p>
        </w:tc>
        <w:tc>
          <w:tcPr>
            <w:tcW w:w="720" w:type="dxa"/>
            <w:vMerge w:val="continue"/>
            <w:vAlign w:val="center"/>
          </w:tcPr>
          <w:p>
            <w:pPr>
              <w:jc w:val="center"/>
              <w:rPr>
                <w:rFonts w:ascii="黑体" w:eastAsia="黑体"/>
                <w:color w:val="000000"/>
                <w:szCs w:val="21"/>
              </w:rPr>
            </w:pPr>
          </w:p>
        </w:tc>
        <w:tc>
          <w:tcPr>
            <w:tcW w:w="540" w:type="dxa"/>
            <w:vMerge w:val="continue"/>
            <w:vAlign w:val="center"/>
          </w:tcPr>
          <w:p>
            <w:pPr>
              <w:jc w:val="center"/>
              <w:rPr>
                <w:rFonts w:ascii="黑体" w:eastAsia="黑体"/>
                <w:color w:val="000000"/>
                <w:szCs w:val="21"/>
              </w:rPr>
            </w:pPr>
          </w:p>
        </w:tc>
        <w:tc>
          <w:tcPr>
            <w:tcW w:w="540" w:type="dxa"/>
            <w:vMerge w:val="continue"/>
            <w:vAlign w:val="center"/>
          </w:tcPr>
          <w:p>
            <w:pPr>
              <w:jc w:val="center"/>
              <w:rPr>
                <w:rFonts w:ascii="黑体" w:eastAsia="黑体"/>
                <w:color w:val="000000"/>
                <w:szCs w:val="21"/>
              </w:rPr>
            </w:pPr>
          </w:p>
        </w:tc>
        <w:tc>
          <w:tcPr>
            <w:tcW w:w="459" w:type="dxa"/>
            <w:vAlign w:val="center"/>
          </w:tcPr>
          <w:p>
            <w:pPr>
              <w:jc w:val="center"/>
              <w:rPr>
                <w:rFonts w:ascii="黑体" w:eastAsia="黑体"/>
                <w:color w:val="000000"/>
                <w:szCs w:val="21"/>
              </w:rPr>
            </w:pPr>
            <w:r>
              <w:rPr>
                <w:rFonts w:hint="eastAsia" w:ascii="黑体" w:eastAsia="黑体"/>
                <w:color w:val="000000"/>
                <w:szCs w:val="21"/>
              </w:rPr>
              <w:t>学历</w:t>
            </w:r>
          </w:p>
        </w:tc>
        <w:tc>
          <w:tcPr>
            <w:tcW w:w="540" w:type="dxa"/>
            <w:vAlign w:val="center"/>
          </w:tcPr>
          <w:p>
            <w:pPr>
              <w:jc w:val="center"/>
              <w:rPr>
                <w:rFonts w:ascii="黑体" w:eastAsia="黑体"/>
                <w:color w:val="000000"/>
                <w:szCs w:val="21"/>
              </w:rPr>
            </w:pPr>
            <w:r>
              <w:rPr>
                <w:rFonts w:hint="eastAsia" w:ascii="黑体" w:eastAsia="黑体"/>
                <w:color w:val="000000"/>
                <w:szCs w:val="21"/>
              </w:rPr>
              <w:t>学位</w:t>
            </w:r>
          </w:p>
        </w:tc>
        <w:tc>
          <w:tcPr>
            <w:tcW w:w="1080" w:type="dxa"/>
            <w:vAlign w:val="center"/>
          </w:tcPr>
          <w:p>
            <w:pPr>
              <w:jc w:val="center"/>
              <w:rPr>
                <w:rFonts w:ascii="黑体" w:eastAsia="黑体"/>
                <w:color w:val="000000"/>
                <w:szCs w:val="21"/>
              </w:rPr>
            </w:pPr>
            <w:r>
              <w:rPr>
                <w:rFonts w:hint="eastAsia" w:ascii="黑体" w:eastAsia="黑体"/>
                <w:color w:val="000000"/>
                <w:szCs w:val="21"/>
              </w:rPr>
              <w:t>毕业</w:t>
            </w:r>
          </w:p>
          <w:p>
            <w:pPr>
              <w:jc w:val="center"/>
              <w:rPr>
                <w:rFonts w:ascii="黑体" w:eastAsia="黑体"/>
                <w:color w:val="000000"/>
                <w:szCs w:val="21"/>
              </w:rPr>
            </w:pPr>
            <w:r>
              <w:rPr>
                <w:rFonts w:hint="eastAsia" w:ascii="黑体" w:eastAsia="黑体"/>
                <w:color w:val="000000"/>
                <w:szCs w:val="21"/>
              </w:rPr>
              <w:t>院校</w:t>
            </w:r>
          </w:p>
        </w:tc>
        <w:tc>
          <w:tcPr>
            <w:tcW w:w="720" w:type="dxa"/>
            <w:vAlign w:val="center"/>
          </w:tcPr>
          <w:p>
            <w:pPr>
              <w:jc w:val="center"/>
              <w:rPr>
                <w:rFonts w:ascii="黑体" w:eastAsia="黑体"/>
                <w:color w:val="000000"/>
                <w:szCs w:val="21"/>
              </w:rPr>
            </w:pPr>
            <w:r>
              <w:rPr>
                <w:rFonts w:hint="eastAsia" w:ascii="黑体" w:eastAsia="黑体"/>
                <w:color w:val="000000"/>
                <w:szCs w:val="21"/>
              </w:rPr>
              <w:t>毕业</w:t>
            </w:r>
          </w:p>
          <w:p>
            <w:pPr>
              <w:jc w:val="center"/>
              <w:rPr>
                <w:rFonts w:ascii="黑体" w:eastAsia="黑体"/>
                <w:color w:val="000000"/>
                <w:szCs w:val="21"/>
              </w:rPr>
            </w:pPr>
            <w:r>
              <w:rPr>
                <w:rFonts w:hint="eastAsia" w:ascii="黑体" w:eastAsia="黑体"/>
                <w:color w:val="000000"/>
                <w:szCs w:val="21"/>
              </w:rPr>
              <w:t>时间</w:t>
            </w:r>
          </w:p>
        </w:tc>
        <w:tc>
          <w:tcPr>
            <w:tcW w:w="900" w:type="dxa"/>
            <w:vAlign w:val="center"/>
          </w:tcPr>
          <w:p>
            <w:pPr>
              <w:jc w:val="center"/>
              <w:rPr>
                <w:rFonts w:ascii="黑体" w:eastAsia="黑体"/>
                <w:color w:val="000000"/>
                <w:szCs w:val="21"/>
              </w:rPr>
            </w:pPr>
            <w:r>
              <w:rPr>
                <w:rFonts w:hint="eastAsia" w:ascii="黑体" w:eastAsia="黑体"/>
                <w:color w:val="000000"/>
                <w:szCs w:val="21"/>
              </w:rPr>
              <w:t>专业</w:t>
            </w:r>
          </w:p>
        </w:tc>
        <w:tc>
          <w:tcPr>
            <w:tcW w:w="720" w:type="dxa"/>
            <w:vAlign w:val="center"/>
          </w:tcPr>
          <w:p>
            <w:pPr>
              <w:jc w:val="center"/>
              <w:rPr>
                <w:rFonts w:ascii="黑体" w:eastAsia="黑体"/>
                <w:color w:val="000000"/>
                <w:szCs w:val="21"/>
              </w:rPr>
            </w:pPr>
            <w:r>
              <w:rPr>
                <w:rFonts w:hint="eastAsia" w:ascii="黑体" w:eastAsia="黑体"/>
                <w:color w:val="000000"/>
                <w:szCs w:val="21"/>
              </w:rPr>
              <w:t>职称</w:t>
            </w:r>
          </w:p>
        </w:tc>
        <w:tc>
          <w:tcPr>
            <w:tcW w:w="720" w:type="dxa"/>
            <w:vAlign w:val="center"/>
          </w:tcPr>
          <w:p>
            <w:pPr>
              <w:jc w:val="center"/>
              <w:rPr>
                <w:rFonts w:ascii="黑体" w:eastAsia="黑体"/>
                <w:color w:val="000000"/>
                <w:szCs w:val="21"/>
              </w:rPr>
            </w:pPr>
            <w:r>
              <w:rPr>
                <w:rFonts w:hint="eastAsia" w:ascii="黑体" w:eastAsia="黑体"/>
                <w:color w:val="000000"/>
                <w:szCs w:val="21"/>
              </w:rPr>
              <w:t>任职时间</w:t>
            </w:r>
          </w:p>
        </w:tc>
        <w:tc>
          <w:tcPr>
            <w:tcW w:w="720" w:type="dxa"/>
            <w:vMerge w:val="continue"/>
            <w:vAlign w:val="center"/>
          </w:tcPr>
          <w:p>
            <w:pPr>
              <w:jc w:val="center"/>
              <w:rPr>
                <w:rFonts w:ascii="黑体" w:eastAsia="黑体"/>
                <w:color w:val="000000"/>
                <w:szCs w:val="21"/>
              </w:rPr>
            </w:pPr>
          </w:p>
        </w:tc>
        <w:tc>
          <w:tcPr>
            <w:tcW w:w="900" w:type="dxa"/>
            <w:vMerge w:val="continue"/>
            <w:vAlign w:val="center"/>
          </w:tcPr>
          <w:p>
            <w:pPr>
              <w:jc w:val="center"/>
              <w:rPr>
                <w:rFonts w:ascii="黑体" w:eastAsia="黑体"/>
                <w:color w:val="000000"/>
                <w:szCs w:val="21"/>
              </w:rPr>
            </w:pPr>
          </w:p>
        </w:tc>
        <w:tc>
          <w:tcPr>
            <w:tcW w:w="900" w:type="dxa"/>
            <w:vMerge w:val="continue"/>
            <w:vAlign w:val="center"/>
          </w:tcPr>
          <w:p>
            <w:pPr>
              <w:jc w:val="center"/>
              <w:rPr>
                <w:rFonts w:ascii="黑体" w:eastAsia="黑体"/>
                <w:color w:val="000000"/>
                <w:szCs w:val="21"/>
              </w:rPr>
            </w:pPr>
          </w:p>
        </w:tc>
        <w:tc>
          <w:tcPr>
            <w:tcW w:w="1080" w:type="dxa"/>
            <w:vMerge w:val="continue"/>
            <w:vAlign w:val="center"/>
          </w:tcPr>
          <w:p>
            <w:pPr>
              <w:jc w:val="center"/>
              <w:rPr>
                <w:rFonts w:ascii="黑体" w:eastAsia="黑体"/>
                <w:color w:val="000000"/>
                <w:szCs w:val="21"/>
              </w:rPr>
            </w:pPr>
          </w:p>
        </w:tc>
        <w:tc>
          <w:tcPr>
            <w:tcW w:w="900" w:type="dxa"/>
            <w:vAlign w:val="center"/>
          </w:tcPr>
          <w:p>
            <w:pPr>
              <w:jc w:val="center"/>
              <w:rPr>
                <w:rFonts w:ascii="黑体" w:eastAsia="黑体"/>
                <w:color w:val="000000"/>
                <w:szCs w:val="21"/>
              </w:rPr>
            </w:pPr>
            <w:r>
              <w:rPr>
                <w:rFonts w:hint="eastAsia" w:ascii="黑体" w:eastAsia="黑体"/>
                <w:color w:val="000000"/>
                <w:szCs w:val="21"/>
              </w:rPr>
              <w:t>在职</w:t>
            </w:r>
          </w:p>
        </w:tc>
        <w:tc>
          <w:tcPr>
            <w:tcW w:w="1015" w:type="dxa"/>
            <w:vAlign w:val="center"/>
          </w:tcPr>
          <w:p>
            <w:pPr>
              <w:jc w:val="center"/>
              <w:rPr>
                <w:rFonts w:ascii="黑体" w:eastAsia="黑体"/>
                <w:color w:val="000000"/>
                <w:szCs w:val="21"/>
              </w:rPr>
            </w:pPr>
            <w:r>
              <w:rPr>
                <w:rFonts w:hint="eastAsia" w:ascii="黑体" w:eastAsia="黑体"/>
                <w:color w:val="000000"/>
                <w:szCs w:val="21"/>
              </w:rPr>
              <w:t>兼职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458" w:type="dxa"/>
          </w:tcPr>
          <w:p>
            <w:pPr>
              <w:rPr>
                <w:color w:val="000000"/>
                <w:szCs w:val="21"/>
              </w:rPr>
            </w:pPr>
          </w:p>
        </w:tc>
        <w:tc>
          <w:tcPr>
            <w:tcW w:w="720" w:type="dxa"/>
          </w:tcPr>
          <w:p>
            <w:pPr>
              <w:rPr>
                <w:color w:val="000000"/>
                <w:szCs w:val="21"/>
              </w:rPr>
            </w:pPr>
          </w:p>
        </w:tc>
        <w:tc>
          <w:tcPr>
            <w:tcW w:w="540" w:type="dxa"/>
          </w:tcPr>
          <w:p>
            <w:pPr>
              <w:rPr>
                <w:color w:val="000000"/>
                <w:szCs w:val="21"/>
              </w:rPr>
            </w:pPr>
          </w:p>
        </w:tc>
        <w:tc>
          <w:tcPr>
            <w:tcW w:w="540" w:type="dxa"/>
          </w:tcPr>
          <w:p>
            <w:pPr>
              <w:rPr>
                <w:color w:val="000000"/>
                <w:szCs w:val="21"/>
              </w:rPr>
            </w:pPr>
          </w:p>
        </w:tc>
        <w:tc>
          <w:tcPr>
            <w:tcW w:w="459" w:type="dxa"/>
          </w:tcPr>
          <w:p>
            <w:pPr>
              <w:rPr>
                <w:color w:val="000000"/>
                <w:szCs w:val="21"/>
              </w:rPr>
            </w:pPr>
          </w:p>
        </w:tc>
        <w:tc>
          <w:tcPr>
            <w:tcW w:w="540" w:type="dxa"/>
          </w:tcPr>
          <w:p>
            <w:pPr>
              <w:rPr>
                <w:color w:val="000000"/>
                <w:szCs w:val="21"/>
              </w:rPr>
            </w:pPr>
          </w:p>
        </w:tc>
        <w:tc>
          <w:tcPr>
            <w:tcW w:w="108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720" w:type="dxa"/>
          </w:tcPr>
          <w:p>
            <w:pPr>
              <w:rPr>
                <w:color w:val="000000"/>
                <w:szCs w:val="21"/>
              </w:rPr>
            </w:pPr>
          </w:p>
        </w:tc>
        <w:tc>
          <w:tcPr>
            <w:tcW w:w="900" w:type="dxa"/>
          </w:tcPr>
          <w:p>
            <w:pPr>
              <w:rPr>
                <w:color w:val="000000"/>
                <w:szCs w:val="21"/>
              </w:rPr>
            </w:pPr>
          </w:p>
        </w:tc>
        <w:tc>
          <w:tcPr>
            <w:tcW w:w="900" w:type="dxa"/>
          </w:tcPr>
          <w:p>
            <w:pPr>
              <w:rPr>
                <w:color w:val="000000"/>
                <w:szCs w:val="21"/>
              </w:rPr>
            </w:pPr>
          </w:p>
        </w:tc>
        <w:tc>
          <w:tcPr>
            <w:tcW w:w="1080" w:type="dxa"/>
          </w:tcPr>
          <w:p>
            <w:pPr>
              <w:rPr>
                <w:color w:val="000000"/>
                <w:szCs w:val="21"/>
              </w:rPr>
            </w:pPr>
          </w:p>
        </w:tc>
        <w:tc>
          <w:tcPr>
            <w:tcW w:w="900" w:type="dxa"/>
          </w:tcPr>
          <w:p>
            <w:pPr>
              <w:rPr>
                <w:color w:val="000000"/>
                <w:szCs w:val="21"/>
              </w:rPr>
            </w:pPr>
          </w:p>
        </w:tc>
        <w:tc>
          <w:tcPr>
            <w:tcW w:w="1015" w:type="dxa"/>
          </w:tcPr>
          <w:p>
            <w:pPr>
              <w:rPr>
                <w:color w:val="000000"/>
                <w:szCs w:val="21"/>
              </w:rPr>
            </w:pPr>
          </w:p>
        </w:tc>
      </w:tr>
    </w:tbl>
    <w:p>
      <w:pPr>
        <w:rPr>
          <w:color w:val="000000"/>
        </w:rPr>
      </w:pPr>
    </w:p>
    <w:p>
      <w:pPr>
        <w:rPr>
          <w:color w:val="000000"/>
        </w:rPr>
        <w:sectPr>
          <w:pgSz w:w="16838" w:h="11906" w:orient="landscape"/>
          <w:pgMar w:top="1797" w:right="1440" w:bottom="1797" w:left="1440" w:header="851" w:footer="992" w:gutter="0"/>
          <w:cols w:space="720" w:num="1"/>
          <w:docGrid w:type="lines" w:linePitch="312" w:charSpace="0"/>
        </w:sectPr>
      </w:pPr>
    </w:p>
    <w:p>
      <w:pPr>
        <w:jc w:val="center"/>
        <w:rPr>
          <w:rFonts w:ascii="黑体" w:eastAsia="黑体"/>
          <w:color w:val="000000"/>
          <w:sz w:val="36"/>
          <w:szCs w:val="32"/>
        </w:rPr>
      </w:pPr>
      <w:r>
        <w:rPr>
          <w:rFonts w:hint="eastAsia" w:ascii="黑体" w:eastAsia="黑体"/>
          <w:color w:val="000000"/>
          <w:sz w:val="36"/>
          <w:szCs w:val="32"/>
        </w:rPr>
        <w:t>主要技术装备和应用软件情况</w:t>
      </w:r>
    </w:p>
    <w:tbl>
      <w:tblPr>
        <w:tblStyle w:val="11"/>
        <w:tblW w:w="0" w:type="auto"/>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1908"/>
        <w:gridCol w:w="1800"/>
        <w:gridCol w:w="180"/>
        <w:gridCol w:w="1440"/>
        <w:gridCol w:w="1980"/>
        <w:gridCol w:w="1212"/>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87" w:hRule="atLeast"/>
        </w:trPr>
        <w:tc>
          <w:tcPr>
            <w:tcW w:w="8520" w:type="dxa"/>
            <w:gridSpan w:val="6"/>
            <w:tcBorders>
              <w:bottom w:val="single" w:color="auto" w:sz="6" w:space="0"/>
            </w:tcBorders>
            <w:vAlign w:val="center"/>
          </w:tcPr>
          <w:p>
            <w:pPr>
              <w:jc w:val="center"/>
              <w:rPr>
                <w:rFonts w:ascii="黑体" w:eastAsia="黑体"/>
                <w:color w:val="000000"/>
                <w:sz w:val="28"/>
                <w:szCs w:val="28"/>
              </w:rPr>
            </w:pPr>
            <w:r>
              <w:rPr>
                <w:rFonts w:hint="eastAsia" w:ascii="黑体" w:eastAsia="黑体"/>
                <w:color w:val="000000"/>
                <w:sz w:val="28"/>
                <w:szCs w:val="28"/>
              </w:rPr>
              <w:t>主要技术装备</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468" w:hRule="atLeast"/>
        </w:trPr>
        <w:tc>
          <w:tcPr>
            <w:tcW w:w="1908" w:type="dxa"/>
            <w:tcBorders>
              <w:top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名  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规  格</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数  量</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主要性能</w:t>
            </w:r>
          </w:p>
        </w:tc>
        <w:tc>
          <w:tcPr>
            <w:tcW w:w="1212" w:type="dxa"/>
            <w:tcBorders>
              <w:top w:val="single" w:color="auto" w:sz="6" w:space="0"/>
              <w:left w:val="single" w:color="auto" w:sz="6" w:space="0"/>
              <w:bottom w:val="single" w:color="auto" w:sz="6" w:space="0"/>
            </w:tcBorders>
            <w:vAlign w:val="center"/>
          </w:tcPr>
          <w:p>
            <w:pPr>
              <w:jc w:val="center"/>
              <w:rPr>
                <w:rFonts w:ascii="黑体" w:eastAsia="黑体"/>
                <w:color w:val="000000"/>
                <w:sz w:val="24"/>
              </w:rPr>
            </w:pPr>
            <w:r>
              <w:rPr>
                <w:rFonts w:hint="eastAsia" w:ascii="黑体" w:eastAsia="黑体"/>
                <w:color w:val="000000"/>
                <w:sz w:val="24"/>
              </w:rPr>
              <w:t>备注</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756" w:hRule="atLeast"/>
        </w:trPr>
        <w:tc>
          <w:tcPr>
            <w:tcW w:w="1908" w:type="dxa"/>
            <w:tcBorders>
              <w:top w:val="single" w:color="auto" w:sz="6" w:space="0"/>
              <w:bottom w:val="single" w:color="auto" w:sz="6" w:space="0"/>
              <w:right w:val="single" w:color="auto" w:sz="6" w:space="0"/>
            </w:tcBorders>
            <w:vAlign w:val="center"/>
          </w:tcPr>
          <w:p>
            <w:pPr>
              <w:rPr>
                <w:rFonts w:ascii="黑体" w:eastAsia="黑体"/>
                <w:color w:val="000000"/>
              </w:rPr>
            </w:pPr>
          </w:p>
        </w:tc>
        <w:tc>
          <w:tcPr>
            <w:tcW w:w="180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62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vAlign w:val="center"/>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756" w:hRule="atLeast"/>
        </w:trPr>
        <w:tc>
          <w:tcPr>
            <w:tcW w:w="1908" w:type="dxa"/>
            <w:tcBorders>
              <w:top w:val="single" w:color="auto" w:sz="6" w:space="0"/>
              <w:bottom w:val="single" w:color="auto" w:sz="6" w:space="0"/>
              <w:right w:val="single" w:color="auto" w:sz="6" w:space="0"/>
            </w:tcBorders>
            <w:vAlign w:val="center"/>
          </w:tcPr>
          <w:p>
            <w:pPr>
              <w:rPr>
                <w:rFonts w:ascii="黑体" w:eastAsia="黑体"/>
                <w:color w:val="000000"/>
              </w:rPr>
            </w:pPr>
          </w:p>
        </w:tc>
        <w:tc>
          <w:tcPr>
            <w:tcW w:w="180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62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vAlign w:val="center"/>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756" w:hRule="atLeast"/>
        </w:trPr>
        <w:tc>
          <w:tcPr>
            <w:tcW w:w="1908" w:type="dxa"/>
            <w:tcBorders>
              <w:top w:val="single" w:color="auto" w:sz="6" w:space="0"/>
              <w:bottom w:val="single" w:color="auto" w:sz="6" w:space="0"/>
              <w:right w:val="single" w:color="auto" w:sz="6" w:space="0"/>
            </w:tcBorders>
            <w:vAlign w:val="center"/>
          </w:tcPr>
          <w:p>
            <w:pPr>
              <w:rPr>
                <w:rFonts w:ascii="黑体" w:eastAsia="黑体"/>
                <w:color w:val="000000"/>
              </w:rPr>
            </w:pPr>
          </w:p>
        </w:tc>
        <w:tc>
          <w:tcPr>
            <w:tcW w:w="180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62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vAlign w:val="center"/>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756" w:hRule="atLeast"/>
        </w:trPr>
        <w:tc>
          <w:tcPr>
            <w:tcW w:w="1908" w:type="dxa"/>
            <w:tcBorders>
              <w:top w:val="single" w:color="auto" w:sz="6" w:space="0"/>
              <w:bottom w:val="single" w:color="auto" w:sz="6" w:space="0"/>
              <w:right w:val="single" w:color="auto" w:sz="6" w:space="0"/>
            </w:tcBorders>
            <w:vAlign w:val="center"/>
          </w:tcPr>
          <w:p>
            <w:pPr>
              <w:rPr>
                <w:rFonts w:ascii="黑体" w:eastAsia="黑体"/>
                <w:color w:val="000000"/>
              </w:rPr>
            </w:pPr>
          </w:p>
        </w:tc>
        <w:tc>
          <w:tcPr>
            <w:tcW w:w="180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62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vAlign w:val="center"/>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466" w:hRule="atLeast"/>
        </w:trPr>
        <w:tc>
          <w:tcPr>
            <w:tcW w:w="8520" w:type="dxa"/>
            <w:gridSpan w:val="6"/>
            <w:tcBorders>
              <w:top w:val="single" w:color="auto" w:sz="6" w:space="0"/>
              <w:bottom w:val="single" w:color="auto" w:sz="6" w:space="0"/>
            </w:tcBorders>
            <w:vAlign w:val="center"/>
          </w:tcPr>
          <w:p>
            <w:pPr>
              <w:jc w:val="center"/>
              <w:rPr>
                <w:rFonts w:ascii="黑体" w:eastAsia="黑体"/>
                <w:color w:val="000000"/>
                <w:sz w:val="28"/>
                <w:szCs w:val="28"/>
              </w:rPr>
            </w:pPr>
            <w:r>
              <w:rPr>
                <w:rFonts w:hint="eastAsia" w:ascii="黑体" w:eastAsia="黑体"/>
                <w:color w:val="000000"/>
                <w:sz w:val="28"/>
                <w:szCs w:val="28"/>
              </w:rPr>
              <w:t>应用软件情况</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73" w:hRule="atLeast"/>
        </w:trPr>
        <w:tc>
          <w:tcPr>
            <w:tcW w:w="1908" w:type="dxa"/>
            <w:tcBorders>
              <w:top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软件名称</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来  源</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数  量</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ascii="黑体" w:eastAsia="黑体"/>
                <w:color w:val="000000"/>
                <w:sz w:val="24"/>
              </w:rPr>
            </w:pPr>
            <w:r>
              <w:rPr>
                <w:rFonts w:hint="eastAsia" w:ascii="黑体" w:eastAsia="黑体"/>
                <w:color w:val="000000"/>
                <w:sz w:val="24"/>
              </w:rPr>
              <w:t>用途</w:t>
            </w:r>
          </w:p>
        </w:tc>
        <w:tc>
          <w:tcPr>
            <w:tcW w:w="1212" w:type="dxa"/>
            <w:tcBorders>
              <w:top w:val="single" w:color="auto" w:sz="6" w:space="0"/>
              <w:left w:val="single" w:color="auto" w:sz="6" w:space="0"/>
              <w:bottom w:val="single" w:color="auto" w:sz="6" w:space="0"/>
            </w:tcBorders>
            <w:vAlign w:val="center"/>
          </w:tcPr>
          <w:p>
            <w:pPr>
              <w:jc w:val="center"/>
              <w:rPr>
                <w:rFonts w:ascii="黑体" w:eastAsia="黑体"/>
                <w:color w:val="000000"/>
                <w:sz w:val="24"/>
              </w:rPr>
            </w:pPr>
            <w:r>
              <w:rPr>
                <w:rFonts w:hint="eastAsia" w:ascii="黑体" w:eastAsia="黑体"/>
                <w:color w:val="000000"/>
                <w:sz w:val="24"/>
              </w:rPr>
              <w:t>备注</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840" w:hRule="atLeast"/>
        </w:trPr>
        <w:tc>
          <w:tcPr>
            <w:tcW w:w="1908" w:type="dxa"/>
            <w:tcBorders>
              <w:top w:val="single" w:color="auto" w:sz="6" w:space="0"/>
              <w:bottom w:val="single" w:color="auto" w:sz="6" w:space="0"/>
              <w:right w:val="single" w:color="auto" w:sz="6" w:space="0"/>
            </w:tcBorders>
          </w:tcPr>
          <w:p>
            <w:pPr>
              <w:rPr>
                <w:rFonts w:ascii="黑体" w:eastAsia="黑体"/>
                <w:color w:val="000000"/>
              </w:rPr>
            </w:pPr>
          </w:p>
        </w:tc>
        <w:tc>
          <w:tcPr>
            <w:tcW w:w="198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840" w:hRule="atLeast"/>
        </w:trPr>
        <w:tc>
          <w:tcPr>
            <w:tcW w:w="1908" w:type="dxa"/>
            <w:tcBorders>
              <w:top w:val="single" w:color="auto" w:sz="6" w:space="0"/>
              <w:bottom w:val="single" w:color="auto" w:sz="6" w:space="0"/>
              <w:right w:val="single" w:color="auto" w:sz="6" w:space="0"/>
            </w:tcBorders>
          </w:tcPr>
          <w:p>
            <w:pPr>
              <w:rPr>
                <w:rFonts w:ascii="黑体" w:eastAsia="黑体"/>
                <w:color w:val="000000"/>
              </w:rPr>
            </w:pPr>
          </w:p>
        </w:tc>
        <w:tc>
          <w:tcPr>
            <w:tcW w:w="198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cantSplit/>
          <w:trHeight w:val="840" w:hRule="atLeast"/>
        </w:trPr>
        <w:tc>
          <w:tcPr>
            <w:tcW w:w="1908" w:type="dxa"/>
            <w:tcBorders>
              <w:top w:val="single" w:color="auto" w:sz="6" w:space="0"/>
              <w:bottom w:val="single" w:color="auto" w:sz="6" w:space="0"/>
              <w:right w:val="single" w:color="auto" w:sz="6" w:space="0"/>
            </w:tcBorders>
          </w:tcPr>
          <w:p>
            <w:pPr>
              <w:rPr>
                <w:rFonts w:ascii="黑体" w:eastAsia="黑体"/>
                <w:color w:val="000000"/>
              </w:rPr>
            </w:pPr>
          </w:p>
        </w:tc>
        <w:tc>
          <w:tcPr>
            <w:tcW w:w="1980" w:type="dxa"/>
            <w:gridSpan w:val="2"/>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rPr>
                <w:rFonts w:ascii="黑体" w:eastAsia="黑体"/>
                <w:color w:val="000000"/>
                <w:sz w:val="28"/>
                <w:szCs w:val="28"/>
              </w:rPr>
            </w:pPr>
          </w:p>
        </w:tc>
        <w:tc>
          <w:tcPr>
            <w:tcW w:w="1212" w:type="dxa"/>
            <w:tcBorders>
              <w:top w:val="single" w:color="auto" w:sz="6" w:space="0"/>
              <w:left w:val="single" w:color="auto" w:sz="6" w:space="0"/>
              <w:bottom w:val="single" w:color="auto" w:sz="6" w:space="0"/>
            </w:tcBorders>
          </w:tcPr>
          <w:p>
            <w:pPr>
              <w:rPr>
                <w:rFonts w:ascii="黑体"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cantSplit/>
          <w:trHeight w:val="588" w:hRule="atLeast"/>
        </w:trPr>
        <w:tc>
          <w:tcPr>
            <w:tcW w:w="8520" w:type="dxa"/>
            <w:gridSpan w:val="6"/>
            <w:tcBorders>
              <w:top w:val="single" w:color="auto" w:sz="6" w:space="0"/>
            </w:tcBorders>
            <w:vAlign w:val="center"/>
          </w:tcPr>
          <w:p>
            <w:pPr>
              <w:jc w:val="center"/>
              <w:rPr>
                <w:rFonts w:ascii="黑体" w:eastAsia="黑体"/>
                <w:color w:val="000000"/>
                <w:sz w:val="28"/>
                <w:szCs w:val="28"/>
              </w:rPr>
            </w:pPr>
            <w:r>
              <w:rPr>
                <w:rFonts w:hint="eastAsia" w:ascii="黑体" w:eastAsia="黑体"/>
                <w:color w:val="000000"/>
                <w:sz w:val="28"/>
                <w:szCs w:val="28"/>
              </w:rPr>
              <w:t>规划技术方法创新及应用情况</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cantSplit/>
          <w:trHeight w:val="3591" w:hRule="atLeast"/>
        </w:trPr>
        <w:tc>
          <w:tcPr>
            <w:tcW w:w="8520" w:type="dxa"/>
            <w:gridSpan w:val="6"/>
          </w:tcPr>
          <w:p>
            <w:pPr>
              <w:rPr>
                <w:rFonts w:ascii="黑体" w:eastAsia="黑体"/>
                <w:color w:val="000000"/>
              </w:rPr>
            </w:pPr>
          </w:p>
        </w:tc>
      </w:tr>
    </w:tbl>
    <w:p>
      <w:pPr>
        <w:rPr>
          <w:rFonts w:ascii="黑体" w:eastAsia="黑体"/>
          <w:color w:val="000000"/>
        </w:rPr>
      </w:pPr>
      <w:r>
        <w:rPr>
          <w:rFonts w:hint="eastAsia" w:ascii="黑体" w:eastAsia="黑体"/>
          <w:b/>
          <w:color w:val="000000"/>
        </w:rPr>
        <w:t>说明：规划技术方法创新及应用情况</w:t>
      </w:r>
      <w:r>
        <w:rPr>
          <w:rFonts w:hint="eastAsia" w:ascii="黑体" w:eastAsia="黑体"/>
          <w:color w:val="000000"/>
        </w:rPr>
        <w:t>应填写规划技术方法在理论上的创新，在实际工作中的应用范围和应用水平，包括参与土地利用规划编制、咨询等有关科研课题情况。</w:t>
      </w:r>
    </w:p>
    <w:p>
      <w:pPr>
        <w:rPr>
          <w:rFonts w:ascii="黑体" w:eastAsia="黑体"/>
          <w:color w:val="000000"/>
        </w:rPr>
        <w:sectPr>
          <w:pgSz w:w="11906" w:h="16838"/>
          <w:pgMar w:top="1440" w:right="1800" w:bottom="1440" w:left="1800" w:header="851" w:footer="992" w:gutter="0"/>
          <w:cols w:space="720" w:num="1"/>
          <w:docGrid w:type="lines" w:linePitch="312" w:charSpace="0"/>
        </w:sectPr>
      </w:pPr>
    </w:p>
    <w:p>
      <w:pPr>
        <w:jc w:val="center"/>
        <w:rPr>
          <w:rFonts w:eastAsia="黑体"/>
          <w:color w:val="000000"/>
          <w:sz w:val="36"/>
        </w:rPr>
      </w:pPr>
      <w:r>
        <w:rPr>
          <w:rFonts w:hint="eastAsia" w:eastAsia="黑体"/>
          <w:color w:val="000000"/>
          <w:sz w:val="36"/>
        </w:rPr>
        <w:t>近三年承担过的主要土地规划任务情况</w:t>
      </w:r>
    </w:p>
    <w:tbl>
      <w:tblPr>
        <w:tblStyle w:val="11"/>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260"/>
        <w:gridCol w:w="1260"/>
        <w:gridCol w:w="1260"/>
        <w:gridCol w:w="900"/>
        <w:gridCol w:w="1260"/>
        <w:gridCol w:w="1260"/>
        <w:gridCol w:w="1260"/>
        <w:gridCol w:w="1080"/>
        <w:gridCol w:w="900"/>
        <w:gridCol w:w="1260"/>
        <w:gridCol w:w="18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468" w:type="dxa"/>
            <w:vMerge w:val="restart"/>
            <w:vAlign w:val="center"/>
          </w:tcPr>
          <w:p>
            <w:pPr>
              <w:jc w:val="center"/>
              <w:rPr>
                <w:rFonts w:ascii="黑体" w:eastAsia="黑体"/>
                <w:color w:val="000000"/>
                <w:sz w:val="24"/>
              </w:rPr>
            </w:pPr>
            <w:r>
              <w:rPr>
                <w:rFonts w:hint="eastAsia" w:ascii="黑体" w:eastAsia="黑体"/>
                <w:color w:val="000000"/>
                <w:sz w:val="24"/>
              </w:rPr>
              <w:t>序号</w:t>
            </w:r>
          </w:p>
        </w:tc>
        <w:tc>
          <w:tcPr>
            <w:tcW w:w="1260" w:type="dxa"/>
            <w:vMerge w:val="restart"/>
            <w:vAlign w:val="center"/>
          </w:tcPr>
          <w:p>
            <w:pPr>
              <w:jc w:val="center"/>
              <w:rPr>
                <w:rFonts w:ascii="黑体" w:eastAsia="黑体"/>
                <w:color w:val="000000"/>
                <w:sz w:val="24"/>
              </w:rPr>
            </w:pPr>
            <w:r>
              <w:rPr>
                <w:rFonts w:hint="eastAsia" w:ascii="黑体" w:eastAsia="黑体"/>
                <w:color w:val="000000"/>
                <w:sz w:val="24"/>
              </w:rPr>
              <w:t>项目名称</w:t>
            </w:r>
          </w:p>
        </w:tc>
        <w:tc>
          <w:tcPr>
            <w:tcW w:w="1260" w:type="dxa"/>
            <w:vMerge w:val="restart"/>
            <w:vAlign w:val="center"/>
          </w:tcPr>
          <w:p>
            <w:pPr>
              <w:jc w:val="center"/>
              <w:rPr>
                <w:rFonts w:ascii="黑体" w:eastAsia="黑体"/>
                <w:color w:val="000000"/>
              </w:rPr>
            </w:pPr>
            <w:r>
              <w:rPr>
                <w:rFonts w:hint="eastAsia" w:ascii="黑体" w:eastAsia="黑体"/>
                <w:color w:val="000000"/>
                <w:sz w:val="24"/>
              </w:rPr>
              <w:t>项目类型</w:t>
            </w:r>
          </w:p>
        </w:tc>
        <w:tc>
          <w:tcPr>
            <w:tcW w:w="1260" w:type="dxa"/>
            <w:vMerge w:val="restart"/>
            <w:vAlign w:val="center"/>
          </w:tcPr>
          <w:p>
            <w:pPr>
              <w:jc w:val="center"/>
              <w:rPr>
                <w:rFonts w:ascii="黑体" w:eastAsia="黑体"/>
                <w:color w:val="000000"/>
                <w:sz w:val="24"/>
              </w:rPr>
            </w:pPr>
            <w:r>
              <w:rPr>
                <w:rFonts w:hint="eastAsia" w:ascii="黑体" w:eastAsia="黑体"/>
                <w:color w:val="000000"/>
                <w:sz w:val="24"/>
              </w:rPr>
              <w:t>完成时间</w:t>
            </w:r>
          </w:p>
          <w:p>
            <w:pPr>
              <w:jc w:val="center"/>
              <w:rPr>
                <w:rFonts w:ascii="黑体" w:eastAsia="黑体"/>
                <w:color w:val="000000"/>
                <w:sz w:val="24"/>
              </w:rPr>
            </w:pPr>
            <w:r>
              <w:rPr>
                <w:rFonts w:hint="eastAsia" w:ascii="黑体" w:eastAsia="黑体"/>
                <w:color w:val="000000"/>
                <w:sz w:val="24"/>
              </w:rPr>
              <w:t>（起 讫）</w:t>
            </w:r>
          </w:p>
        </w:tc>
        <w:tc>
          <w:tcPr>
            <w:tcW w:w="900" w:type="dxa"/>
            <w:vMerge w:val="restart"/>
            <w:vAlign w:val="center"/>
          </w:tcPr>
          <w:p>
            <w:pPr>
              <w:jc w:val="center"/>
              <w:rPr>
                <w:rFonts w:ascii="黑体" w:eastAsia="黑体"/>
                <w:color w:val="000000"/>
                <w:sz w:val="24"/>
              </w:rPr>
            </w:pPr>
            <w:r>
              <w:rPr>
                <w:rFonts w:hint="eastAsia" w:ascii="黑体" w:eastAsia="黑体"/>
                <w:color w:val="000000"/>
                <w:sz w:val="24"/>
              </w:rPr>
              <w:t>委托单位</w:t>
            </w:r>
          </w:p>
        </w:tc>
        <w:tc>
          <w:tcPr>
            <w:tcW w:w="2520" w:type="dxa"/>
            <w:gridSpan w:val="2"/>
            <w:vAlign w:val="center"/>
          </w:tcPr>
          <w:p>
            <w:pPr>
              <w:jc w:val="center"/>
              <w:rPr>
                <w:rFonts w:ascii="黑体" w:eastAsia="黑体"/>
                <w:color w:val="000000"/>
                <w:sz w:val="24"/>
              </w:rPr>
            </w:pPr>
            <w:r>
              <w:rPr>
                <w:rFonts w:hint="eastAsia" w:ascii="黑体" w:eastAsia="黑体"/>
                <w:color w:val="000000"/>
                <w:sz w:val="24"/>
              </w:rPr>
              <w:t>评审验收情况</w:t>
            </w:r>
          </w:p>
        </w:tc>
        <w:tc>
          <w:tcPr>
            <w:tcW w:w="3240" w:type="dxa"/>
            <w:gridSpan w:val="3"/>
            <w:vAlign w:val="center"/>
          </w:tcPr>
          <w:p>
            <w:pPr>
              <w:jc w:val="center"/>
              <w:rPr>
                <w:rFonts w:ascii="黑体" w:eastAsia="黑体"/>
                <w:color w:val="000000"/>
                <w:sz w:val="24"/>
              </w:rPr>
            </w:pPr>
            <w:r>
              <w:rPr>
                <w:rFonts w:hint="eastAsia" w:ascii="黑体" w:eastAsia="黑体"/>
                <w:color w:val="000000"/>
                <w:sz w:val="24"/>
              </w:rPr>
              <w:t>获奖情况</w:t>
            </w:r>
          </w:p>
        </w:tc>
        <w:tc>
          <w:tcPr>
            <w:tcW w:w="1260" w:type="dxa"/>
            <w:vMerge w:val="restart"/>
            <w:vAlign w:val="center"/>
          </w:tcPr>
          <w:p>
            <w:pPr>
              <w:jc w:val="center"/>
              <w:rPr>
                <w:rFonts w:ascii="黑体" w:eastAsia="黑体"/>
                <w:color w:val="000000"/>
                <w:sz w:val="24"/>
              </w:rPr>
            </w:pPr>
            <w:r>
              <w:rPr>
                <w:rFonts w:hint="eastAsia" w:ascii="黑体" w:eastAsia="黑体"/>
                <w:color w:val="000000"/>
                <w:sz w:val="24"/>
              </w:rPr>
              <w:t>参与方式</w:t>
            </w:r>
          </w:p>
        </w:tc>
        <w:tc>
          <w:tcPr>
            <w:tcW w:w="1800" w:type="dxa"/>
            <w:vMerge w:val="restart"/>
            <w:vAlign w:val="center"/>
          </w:tcPr>
          <w:p>
            <w:pPr>
              <w:jc w:val="center"/>
              <w:rPr>
                <w:rFonts w:ascii="黑体" w:eastAsia="黑体"/>
                <w:color w:val="000000"/>
                <w:sz w:val="24"/>
              </w:rPr>
            </w:pPr>
            <w:r>
              <w:rPr>
                <w:rFonts w:hint="eastAsia" w:ascii="黑体" w:eastAsia="黑体"/>
                <w:color w:val="000000"/>
                <w:sz w:val="24"/>
              </w:rPr>
              <w:t>备  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468" w:type="dxa"/>
            <w:vMerge w:val="continue"/>
            <w:vAlign w:val="center"/>
          </w:tcPr>
          <w:p>
            <w:pPr>
              <w:jc w:val="center"/>
              <w:rPr>
                <w:rFonts w:ascii="黑体" w:eastAsia="黑体"/>
                <w:color w:val="000000"/>
                <w:sz w:val="24"/>
              </w:rPr>
            </w:pPr>
          </w:p>
        </w:tc>
        <w:tc>
          <w:tcPr>
            <w:tcW w:w="1260" w:type="dxa"/>
            <w:vMerge w:val="continue"/>
            <w:vAlign w:val="center"/>
          </w:tcPr>
          <w:p>
            <w:pPr>
              <w:jc w:val="center"/>
              <w:rPr>
                <w:rFonts w:ascii="黑体" w:eastAsia="黑体"/>
                <w:color w:val="000000"/>
                <w:sz w:val="24"/>
              </w:rPr>
            </w:pPr>
          </w:p>
        </w:tc>
        <w:tc>
          <w:tcPr>
            <w:tcW w:w="1260" w:type="dxa"/>
            <w:vMerge w:val="continue"/>
            <w:vAlign w:val="center"/>
          </w:tcPr>
          <w:p>
            <w:pPr>
              <w:jc w:val="center"/>
              <w:rPr>
                <w:rFonts w:ascii="黑体" w:eastAsia="黑体"/>
                <w:color w:val="000000"/>
                <w:sz w:val="24"/>
              </w:rPr>
            </w:pPr>
          </w:p>
        </w:tc>
        <w:tc>
          <w:tcPr>
            <w:tcW w:w="1260" w:type="dxa"/>
            <w:vMerge w:val="continue"/>
            <w:vAlign w:val="center"/>
          </w:tcPr>
          <w:p>
            <w:pPr>
              <w:jc w:val="center"/>
              <w:rPr>
                <w:rFonts w:ascii="黑体" w:eastAsia="黑体"/>
                <w:color w:val="000000"/>
                <w:sz w:val="24"/>
              </w:rPr>
            </w:pPr>
          </w:p>
        </w:tc>
        <w:tc>
          <w:tcPr>
            <w:tcW w:w="900" w:type="dxa"/>
            <w:vMerge w:val="continue"/>
            <w:vAlign w:val="center"/>
          </w:tcPr>
          <w:p>
            <w:pPr>
              <w:jc w:val="center"/>
              <w:rPr>
                <w:rFonts w:ascii="黑体" w:eastAsia="黑体"/>
                <w:color w:val="000000"/>
                <w:sz w:val="24"/>
              </w:rPr>
            </w:pPr>
          </w:p>
        </w:tc>
        <w:tc>
          <w:tcPr>
            <w:tcW w:w="1260" w:type="dxa"/>
            <w:vAlign w:val="center"/>
          </w:tcPr>
          <w:p>
            <w:pPr>
              <w:jc w:val="center"/>
              <w:rPr>
                <w:rFonts w:ascii="黑体" w:eastAsia="黑体"/>
                <w:color w:val="000000"/>
                <w:sz w:val="24"/>
              </w:rPr>
            </w:pPr>
            <w:r>
              <w:rPr>
                <w:rFonts w:hint="eastAsia" w:ascii="黑体" w:eastAsia="黑体"/>
                <w:color w:val="000000"/>
                <w:sz w:val="24"/>
              </w:rPr>
              <w:t>评审验收机构</w:t>
            </w:r>
          </w:p>
        </w:tc>
        <w:tc>
          <w:tcPr>
            <w:tcW w:w="1260" w:type="dxa"/>
            <w:vAlign w:val="center"/>
          </w:tcPr>
          <w:p>
            <w:pPr>
              <w:jc w:val="center"/>
              <w:rPr>
                <w:rFonts w:ascii="黑体" w:eastAsia="黑体"/>
                <w:color w:val="000000"/>
                <w:sz w:val="24"/>
              </w:rPr>
            </w:pPr>
            <w:r>
              <w:rPr>
                <w:rFonts w:hint="eastAsia" w:ascii="黑体" w:eastAsia="黑体"/>
                <w:color w:val="000000"/>
                <w:sz w:val="24"/>
              </w:rPr>
              <w:t>评审验收时间</w:t>
            </w:r>
          </w:p>
        </w:tc>
        <w:tc>
          <w:tcPr>
            <w:tcW w:w="1260" w:type="dxa"/>
            <w:vAlign w:val="center"/>
          </w:tcPr>
          <w:p>
            <w:pPr>
              <w:jc w:val="center"/>
              <w:rPr>
                <w:rFonts w:ascii="黑体" w:eastAsia="黑体"/>
                <w:color w:val="000000"/>
                <w:sz w:val="24"/>
              </w:rPr>
            </w:pPr>
            <w:r>
              <w:rPr>
                <w:rFonts w:hint="eastAsia" w:ascii="黑体" w:eastAsia="黑体"/>
                <w:color w:val="000000"/>
                <w:sz w:val="24"/>
              </w:rPr>
              <w:t>颁奖部门及文件号</w:t>
            </w:r>
          </w:p>
        </w:tc>
        <w:tc>
          <w:tcPr>
            <w:tcW w:w="1080" w:type="dxa"/>
            <w:vAlign w:val="center"/>
          </w:tcPr>
          <w:p>
            <w:pPr>
              <w:jc w:val="center"/>
              <w:rPr>
                <w:rFonts w:ascii="黑体" w:eastAsia="黑体"/>
                <w:color w:val="000000"/>
                <w:sz w:val="24"/>
              </w:rPr>
            </w:pPr>
            <w:r>
              <w:rPr>
                <w:rFonts w:hint="eastAsia" w:ascii="黑体" w:eastAsia="黑体"/>
                <w:color w:val="000000"/>
                <w:sz w:val="24"/>
              </w:rPr>
              <w:t>获奖</w:t>
            </w:r>
          </w:p>
          <w:p>
            <w:pPr>
              <w:jc w:val="center"/>
              <w:rPr>
                <w:rFonts w:ascii="黑体" w:eastAsia="黑体"/>
                <w:color w:val="000000"/>
                <w:sz w:val="24"/>
              </w:rPr>
            </w:pPr>
            <w:r>
              <w:rPr>
                <w:rFonts w:hint="eastAsia" w:ascii="黑体" w:eastAsia="黑体"/>
                <w:color w:val="000000"/>
                <w:sz w:val="24"/>
              </w:rPr>
              <w:t>等级</w:t>
            </w:r>
          </w:p>
        </w:tc>
        <w:tc>
          <w:tcPr>
            <w:tcW w:w="900" w:type="dxa"/>
            <w:vAlign w:val="center"/>
          </w:tcPr>
          <w:p>
            <w:pPr>
              <w:jc w:val="center"/>
              <w:rPr>
                <w:rFonts w:ascii="黑体" w:eastAsia="黑体"/>
                <w:color w:val="000000"/>
                <w:sz w:val="24"/>
              </w:rPr>
            </w:pPr>
            <w:r>
              <w:rPr>
                <w:rFonts w:hint="eastAsia" w:ascii="黑体" w:eastAsia="黑体"/>
                <w:color w:val="000000"/>
                <w:sz w:val="24"/>
              </w:rPr>
              <w:t>获奖</w:t>
            </w:r>
          </w:p>
          <w:p>
            <w:pPr>
              <w:jc w:val="center"/>
              <w:rPr>
                <w:rFonts w:ascii="黑体" w:eastAsia="黑体"/>
                <w:color w:val="000000"/>
                <w:sz w:val="24"/>
              </w:rPr>
            </w:pPr>
            <w:r>
              <w:rPr>
                <w:rFonts w:hint="eastAsia" w:ascii="黑体" w:eastAsia="黑体"/>
                <w:color w:val="000000"/>
                <w:sz w:val="24"/>
              </w:rPr>
              <w:t>时间</w:t>
            </w:r>
          </w:p>
        </w:tc>
        <w:tc>
          <w:tcPr>
            <w:tcW w:w="1260" w:type="dxa"/>
            <w:vMerge w:val="continue"/>
            <w:vAlign w:val="center"/>
          </w:tcPr>
          <w:p>
            <w:pPr>
              <w:jc w:val="center"/>
              <w:rPr>
                <w:rFonts w:eastAsia="黑体"/>
                <w:color w:val="000000"/>
                <w:sz w:val="24"/>
              </w:rPr>
            </w:pPr>
          </w:p>
        </w:tc>
        <w:tc>
          <w:tcPr>
            <w:tcW w:w="1800" w:type="dxa"/>
            <w:vMerge w:val="continue"/>
            <w:vAlign w:val="center"/>
          </w:tcPr>
          <w:p>
            <w:pPr>
              <w:jc w:val="center"/>
              <w:rPr>
                <w:rFonts w:eastAsia="黑体"/>
                <w:color w:val="000000"/>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rFonts w:eastAsia="黑体"/>
                <w:color w:val="000000"/>
              </w:rPr>
            </w:pPr>
          </w:p>
        </w:tc>
        <w:tc>
          <w:tcPr>
            <w:tcW w:w="1260" w:type="dxa"/>
          </w:tcPr>
          <w:p>
            <w:pPr>
              <w:rPr>
                <w:rFonts w:eastAsia="黑体"/>
                <w:color w:val="000000"/>
              </w:rPr>
            </w:pPr>
          </w:p>
        </w:tc>
        <w:tc>
          <w:tcPr>
            <w:tcW w:w="1260" w:type="dxa"/>
          </w:tcPr>
          <w:p>
            <w:pPr>
              <w:rPr>
                <w:rFonts w:eastAsia="黑体"/>
                <w:color w:val="000000"/>
              </w:rPr>
            </w:pPr>
          </w:p>
        </w:tc>
        <w:tc>
          <w:tcPr>
            <w:tcW w:w="1260" w:type="dxa"/>
          </w:tcPr>
          <w:p>
            <w:pPr>
              <w:rPr>
                <w:rFonts w:eastAsia="黑体"/>
                <w:color w:val="000000"/>
              </w:rPr>
            </w:pPr>
          </w:p>
        </w:tc>
        <w:tc>
          <w:tcPr>
            <w:tcW w:w="900" w:type="dxa"/>
          </w:tcPr>
          <w:p>
            <w:pPr>
              <w:rPr>
                <w:rFonts w:eastAsia="黑体"/>
                <w:color w:val="000000"/>
              </w:rPr>
            </w:pPr>
          </w:p>
        </w:tc>
        <w:tc>
          <w:tcPr>
            <w:tcW w:w="1260" w:type="dxa"/>
          </w:tcPr>
          <w:p>
            <w:pPr>
              <w:rPr>
                <w:rFonts w:eastAsia="黑体"/>
                <w:color w:val="000000"/>
              </w:rPr>
            </w:pPr>
          </w:p>
        </w:tc>
        <w:tc>
          <w:tcPr>
            <w:tcW w:w="1260" w:type="dxa"/>
          </w:tcPr>
          <w:p>
            <w:pPr>
              <w:rPr>
                <w:rFonts w:eastAsia="黑体"/>
                <w:color w:val="000000"/>
              </w:rPr>
            </w:pPr>
          </w:p>
        </w:tc>
        <w:tc>
          <w:tcPr>
            <w:tcW w:w="1260" w:type="dxa"/>
          </w:tcPr>
          <w:p>
            <w:pPr>
              <w:rPr>
                <w:rFonts w:eastAsia="黑体"/>
                <w:color w:val="000000"/>
              </w:rPr>
            </w:pPr>
          </w:p>
        </w:tc>
        <w:tc>
          <w:tcPr>
            <w:tcW w:w="1080" w:type="dxa"/>
          </w:tcPr>
          <w:p>
            <w:pPr>
              <w:rPr>
                <w:rFonts w:eastAsia="黑体"/>
                <w:color w:val="000000"/>
              </w:rPr>
            </w:pPr>
          </w:p>
        </w:tc>
        <w:tc>
          <w:tcPr>
            <w:tcW w:w="900" w:type="dxa"/>
          </w:tcPr>
          <w:p>
            <w:pPr>
              <w:rPr>
                <w:rFonts w:eastAsia="黑体"/>
                <w:color w:val="000000"/>
              </w:rPr>
            </w:pPr>
          </w:p>
        </w:tc>
        <w:tc>
          <w:tcPr>
            <w:tcW w:w="1260" w:type="dxa"/>
          </w:tcPr>
          <w:p>
            <w:pPr>
              <w:rPr>
                <w:rFonts w:eastAsia="黑体"/>
                <w:color w:val="000000"/>
              </w:rPr>
            </w:pPr>
          </w:p>
        </w:tc>
        <w:tc>
          <w:tcPr>
            <w:tcW w:w="1800" w:type="dxa"/>
          </w:tcPr>
          <w:p>
            <w:pPr>
              <w:rPr>
                <w:rFonts w:eastAsia="黑体"/>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68"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900" w:type="dxa"/>
          </w:tcPr>
          <w:p>
            <w:pPr>
              <w:rPr>
                <w:color w:val="000000"/>
              </w:rPr>
            </w:pPr>
          </w:p>
        </w:tc>
        <w:tc>
          <w:tcPr>
            <w:tcW w:w="1260" w:type="dxa"/>
          </w:tcPr>
          <w:p>
            <w:pPr>
              <w:rPr>
                <w:color w:val="000000"/>
              </w:rPr>
            </w:pPr>
          </w:p>
        </w:tc>
        <w:tc>
          <w:tcPr>
            <w:tcW w:w="1260" w:type="dxa"/>
          </w:tcPr>
          <w:p>
            <w:pPr>
              <w:rPr>
                <w:color w:val="000000"/>
              </w:rPr>
            </w:pPr>
          </w:p>
        </w:tc>
        <w:tc>
          <w:tcPr>
            <w:tcW w:w="1260" w:type="dxa"/>
          </w:tcPr>
          <w:p>
            <w:pPr>
              <w:rPr>
                <w:color w:val="000000"/>
              </w:rPr>
            </w:pPr>
          </w:p>
        </w:tc>
        <w:tc>
          <w:tcPr>
            <w:tcW w:w="1080" w:type="dxa"/>
          </w:tcPr>
          <w:p>
            <w:pPr>
              <w:rPr>
                <w:color w:val="000000"/>
              </w:rPr>
            </w:pPr>
          </w:p>
        </w:tc>
        <w:tc>
          <w:tcPr>
            <w:tcW w:w="900" w:type="dxa"/>
          </w:tcPr>
          <w:p>
            <w:pPr>
              <w:rPr>
                <w:color w:val="000000"/>
              </w:rPr>
            </w:pPr>
          </w:p>
        </w:tc>
        <w:tc>
          <w:tcPr>
            <w:tcW w:w="1260" w:type="dxa"/>
          </w:tcPr>
          <w:p>
            <w:pPr>
              <w:rPr>
                <w:color w:val="000000"/>
              </w:rPr>
            </w:pPr>
          </w:p>
        </w:tc>
        <w:tc>
          <w:tcPr>
            <w:tcW w:w="1800" w:type="dxa"/>
          </w:tcPr>
          <w:p>
            <w:pPr>
              <w:rPr>
                <w:color w:val="000000"/>
              </w:rPr>
            </w:pPr>
          </w:p>
        </w:tc>
      </w:tr>
    </w:tbl>
    <w:p>
      <w:pPr>
        <w:rPr>
          <w:color w:val="000000"/>
        </w:rPr>
      </w:pPr>
      <w:r>
        <w:rPr>
          <w:rFonts w:hint="eastAsia"/>
          <w:color w:val="000000"/>
        </w:rPr>
        <w:t>注：</w:t>
      </w:r>
      <w:r>
        <w:rPr>
          <w:rFonts w:hint="eastAsia"/>
          <w:b/>
          <w:color w:val="000000"/>
        </w:rPr>
        <w:t>项目类型</w:t>
      </w:r>
      <w:r>
        <w:rPr>
          <w:rFonts w:hint="eastAsia"/>
          <w:color w:val="000000"/>
        </w:rPr>
        <w:t>包括土地利用总体规划、专项规划、专题研究、规划咨询等。</w:t>
      </w:r>
    </w:p>
    <w:p>
      <w:pPr>
        <w:rPr>
          <w:color w:val="000000"/>
        </w:rPr>
        <w:sectPr>
          <w:pgSz w:w="16838" w:h="11906" w:orient="landscape"/>
          <w:pgMar w:top="1797" w:right="1440" w:bottom="1797" w:left="1440" w:header="851" w:footer="992" w:gutter="0"/>
          <w:cols w:space="720" w:num="1"/>
          <w:docGrid w:type="lines" w:linePitch="312" w:charSpace="0"/>
        </w:sectPr>
      </w:pPr>
    </w:p>
    <w:p>
      <w:pPr>
        <w:jc w:val="center"/>
        <w:rPr>
          <w:rFonts w:eastAsia="黑体"/>
          <w:color w:val="000000"/>
          <w:sz w:val="36"/>
        </w:rPr>
      </w:pPr>
      <w:r>
        <w:rPr>
          <w:rFonts w:hint="eastAsia" w:ascii="黑体" w:eastAsia="黑体"/>
          <w:color w:val="000000"/>
          <w:sz w:val="36"/>
        </w:rPr>
        <w:t>提交的证明材料及附件目录</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8322" w:type="dxa"/>
            <w:tcBorders>
              <w:top w:val="outset" w:color="000000" w:sz="6" w:space="0"/>
              <w:left w:val="outset" w:color="000000" w:sz="6" w:space="0"/>
              <w:bottom w:val="outset" w:color="000000" w:sz="6" w:space="0"/>
              <w:right w:val="outset" w:color="000000" w:sz="6" w:space="0"/>
            </w:tcBorders>
            <w:vAlign w:val="center"/>
          </w:tcPr>
          <w:p>
            <w:pPr>
              <w:rPr>
                <w:rFonts w:ascii="楷体_GB2312" w:eastAsia="仿宋_GB2312"/>
                <w:b/>
                <w:color w:val="000000"/>
                <w:sz w:val="24"/>
              </w:rPr>
            </w:pPr>
            <w:r>
              <w:rPr>
                <w:rStyle w:val="14"/>
                <w:rFonts w:hint="eastAsia" w:ascii="楷体_GB2312" w:eastAsia="仿宋_GB2312"/>
                <w:color w:val="000000"/>
                <w:sz w:val="24"/>
              </w:rPr>
              <w:t>按资质申报材料的顺序提交规定的证明材料和主要附件目录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19" w:hRule="atLeast"/>
          <w:jc w:val="center"/>
        </w:trPr>
        <w:tc>
          <w:tcPr>
            <w:tcW w:w="8322" w:type="dxa"/>
            <w:tcBorders>
              <w:top w:val="outset" w:color="000000" w:sz="6" w:space="0"/>
              <w:left w:val="outset" w:color="000000" w:sz="6" w:space="0"/>
              <w:bottom w:val="outset" w:color="000000" w:sz="6" w:space="0"/>
              <w:right w:val="outset" w:color="000000" w:sz="6" w:space="0"/>
            </w:tcBorders>
          </w:tcPr>
          <w:p>
            <w:pPr>
              <w:spacing w:line="360" w:lineRule="auto"/>
              <w:rPr>
                <w:color w:val="000000"/>
                <w:sz w:val="24"/>
              </w:rPr>
            </w:pPr>
          </w:p>
        </w:tc>
      </w:tr>
    </w:tbl>
    <w:p>
      <w:pPr>
        <w:adjustRightInd w:val="0"/>
        <w:snapToGrid w:val="0"/>
        <w:spacing w:line="360" w:lineRule="auto"/>
      </w:pPr>
    </w:p>
    <w:p>
      <w:pPr>
        <w:rPr>
          <w:rFonts w:ascii="仿宋_GB2312" w:eastAsia="仿宋_GB2312"/>
          <w:sz w:val="32"/>
          <w:szCs w:val="32"/>
        </w:rPr>
      </w:pPr>
    </w:p>
    <w:p>
      <w:pPr>
        <w:adjustRightInd w:val="0"/>
        <w:snapToGrid w:val="0"/>
        <w:spacing w:line="360" w:lineRule="auto"/>
        <w:rPr>
          <w:rFonts w:ascii="仿宋_GB2312" w:eastAsia="仿宋_GB2312"/>
          <w:sz w:val="32"/>
          <w:szCs w:val="32"/>
        </w:rPr>
      </w:pPr>
      <w:r>
        <w:rPr>
          <w:rFonts w:hint="eastAsia" w:ascii="仿宋_GB2312" w:eastAsia="仿宋_GB2312"/>
          <w:sz w:val="32"/>
          <w:szCs w:val="32"/>
        </w:rPr>
        <w:t>附件3</w:t>
      </w:r>
    </w:p>
    <w:p>
      <w:pPr>
        <w:pStyle w:val="4"/>
        <w:shd w:val="clear" w:color="auto" w:fill="FFFFFF"/>
        <w:spacing w:line="480" w:lineRule="auto"/>
        <w:jc w:val="center"/>
        <w:rPr>
          <w:rFonts w:ascii="仿宋_GB2312" w:hAnsi="ˎ̥" w:eastAsia="仿宋_GB2312"/>
        </w:rPr>
      </w:pPr>
      <w:r>
        <w:rPr>
          <w:rFonts w:hint="eastAsia" w:ascii="仿宋_GB2312" w:hAnsi="ˎ̥" w:eastAsia="仿宋_GB2312"/>
        </w:rPr>
        <w:t>土地规划机构资质证明材料清单</w:t>
      </w:r>
    </w:p>
    <w:p>
      <w:pPr>
        <w:pStyle w:val="31"/>
        <w:shd w:val="clear" w:color="auto" w:fill="FFFFFF"/>
        <w:spacing w:line="400" w:lineRule="exact"/>
        <w:jc w:val="left"/>
        <w:rPr>
          <w:rFonts w:ascii="仿宋_GB2312" w:hAnsi="ˎ̥" w:eastAsia="仿宋_GB2312"/>
          <w:color w:val="000000"/>
          <w:sz w:val="32"/>
          <w:szCs w:val="32"/>
        </w:rPr>
      </w:pPr>
      <w:r>
        <w:rPr>
          <w:rFonts w:hint="eastAsia" w:ascii="仿宋_GB2312" w:hAnsi="ˎ̥" w:eastAsia="仿宋_GB2312"/>
          <w:color w:val="000000"/>
          <w:sz w:val="32"/>
          <w:szCs w:val="32"/>
        </w:rPr>
        <w:t>申请参加土地规划机构评选推荐的机构，按照《海南省土地规划机构评选推荐暂行办法》的具体要求，须提供下列证明材料：</w:t>
      </w:r>
    </w:p>
    <w:p>
      <w:pPr>
        <w:rPr>
          <w:rFonts w:ascii="仿宋_GB2312" w:eastAsia="仿宋_GB2312"/>
          <w:color w:val="000000"/>
          <w:sz w:val="28"/>
          <w:szCs w:val="28"/>
        </w:rPr>
      </w:pPr>
      <w:r>
        <w:rPr>
          <w:rFonts w:hint="eastAsia" w:ascii="仿宋_GB2312" w:eastAsia="仿宋_GB2312"/>
          <w:color w:val="000000"/>
          <w:sz w:val="28"/>
          <w:szCs w:val="28"/>
        </w:rPr>
        <w:t>1、机构法人证明材料或企业法人营业执照（复印件）、机构组织代码表、税务登记证明或者有关部门登记的证明文件；已经发放的土地规划乙级机构推荐名录资格证书。</w:t>
      </w:r>
    </w:p>
    <w:p>
      <w:pPr>
        <w:rPr>
          <w:rFonts w:ascii="仿宋_GB2312" w:eastAsia="仿宋_GB2312"/>
          <w:color w:val="000000"/>
          <w:sz w:val="28"/>
          <w:szCs w:val="28"/>
        </w:rPr>
      </w:pPr>
      <w:r>
        <w:rPr>
          <w:rFonts w:hint="eastAsia" w:ascii="仿宋_GB2312" w:eastAsia="仿宋_GB2312"/>
          <w:color w:val="000000"/>
          <w:sz w:val="28"/>
          <w:szCs w:val="28"/>
        </w:rPr>
        <w:t>2、法定代表人和主要技术负责人任命或者聘任文件；法定代表人的学历、职称及相关证明文件。</w:t>
      </w:r>
    </w:p>
    <w:p>
      <w:pPr>
        <w:outlineLvl w:val="0"/>
        <w:rPr>
          <w:rFonts w:ascii="仿宋_GB2312" w:eastAsia="仿宋_GB2312"/>
          <w:color w:val="000000"/>
          <w:sz w:val="28"/>
          <w:szCs w:val="28"/>
        </w:rPr>
      </w:pPr>
      <w:r>
        <w:rPr>
          <w:rFonts w:hint="eastAsia" w:ascii="仿宋_GB2312" w:eastAsia="仿宋_GB2312"/>
          <w:color w:val="000000"/>
          <w:sz w:val="28"/>
          <w:szCs w:val="28"/>
        </w:rPr>
        <w:t>3、当年在职人员的统计表、从事规划业务人员名单、身份证明、学历证明、职称证明等。</w:t>
      </w:r>
    </w:p>
    <w:p>
      <w:pPr>
        <w:rPr>
          <w:rFonts w:ascii="仿宋_GB2312" w:eastAsia="仿宋_GB2312"/>
          <w:color w:val="000000"/>
          <w:sz w:val="28"/>
          <w:szCs w:val="28"/>
        </w:rPr>
      </w:pPr>
      <w:r>
        <w:rPr>
          <w:rFonts w:hint="eastAsia" w:ascii="仿宋_GB2312" w:eastAsia="仿宋_GB2312"/>
          <w:color w:val="000000"/>
          <w:sz w:val="28"/>
          <w:szCs w:val="28"/>
        </w:rPr>
        <w:t>4、承担过的土地规划及相关业务工作业绩及有关证明材料，包括规划成果，项目委托书、合同，专家论证意见、部门验收意见，获奖证书和有关学术成果等。</w:t>
      </w:r>
    </w:p>
    <w:p>
      <w:pPr>
        <w:rPr>
          <w:rFonts w:ascii="仿宋_GB2312" w:eastAsia="仿宋_GB2312"/>
          <w:color w:val="000000"/>
          <w:sz w:val="28"/>
          <w:szCs w:val="28"/>
        </w:rPr>
      </w:pPr>
      <w:r>
        <w:rPr>
          <w:rFonts w:hint="eastAsia" w:ascii="仿宋_GB2312" w:eastAsia="仿宋_GB2312"/>
          <w:color w:val="000000"/>
          <w:sz w:val="28"/>
          <w:szCs w:val="28"/>
        </w:rPr>
        <w:t>5、办公场所证明、固定资产证明意见满足规划编制需要的设备清单等；</w:t>
      </w:r>
    </w:p>
    <w:p>
      <w:pPr>
        <w:rPr>
          <w:rFonts w:ascii="仿宋_GB2312" w:eastAsia="仿宋_GB2312"/>
          <w:color w:val="000000"/>
          <w:sz w:val="28"/>
          <w:szCs w:val="28"/>
        </w:rPr>
      </w:pPr>
      <w:r>
        <w:rPr>
          <w:rFonts w:hint="eastAsia" w:ascii="仿宋_GB2312" w:eastAsia="仿宋_GB2312"/>
          <w:color w:val="000000"/>
          <w:sz w:val="28"/>
          <w:szCs w:val="28"/>
        </w:rPr>
        <w:t>6、质量管理体系的有关材料等。</w:t>
      </w:r>
    </w:p>
    <w:p>
      <w:pPr>
        <w:rPr>
          <w:rFonts w:ascii="仿宋_GB2312" w:eastAsia="仿宋_GB2312"/>
          <w:color w:val="000000"/>
          <w:sz w:val="28"/>
          <w:szCs w:val="28"/>
        </w:rPr>
      </w:pPr>
      <w:r>
        <w:rPr>
          <w:rFonts w:hint="eastAsia" w:ascii="仿宋_GB2312" w:eastAsia="仿宋_GB2312"/>
          <w:color w:val="000000"/>
          <w:sz w:val="28"/>
          <w:szCs w:val="28"/>
        </w:rPr>
        <w:t>7、需要出具的其他证明材料。</w:t>
      </w:r>
    </w:p>
    <w:p>
      <w:pPr>
        <w:rPr>
          <w:rFonts w:ascii="仿宋_GB2312" w:eastAsia="仿宋_GB2312"/>
          <w:color w:val="000000"/>
          <w:sz w:val="28"/>
          <w:szCs w:val="28"/>
        </w:rPr>
      </w:pPr>
    </w:p>
    <w:p>
      <w:pPr>
        <w:widowControl/>
        <w:rPr>
          <w:rFonts w:ascii="仿宋_GB2312" w:hAnsi="ˎ̥" w:eastAsia="仿宋_GB2312"/>
          <w:color w:val="000000"/>
          <w:sz w:val="32"/>
          <w:szCs w:val="32"/>
        </w:rPr>
      </w:pPr>
      <w:r>
        <w:rPr>
          <w:rFonts w:hint="eastAsia" w:ascii="仿宋_GB2312" w:eastAsia="仿宋_GB2312"/>
          <w:color w:val="000000"/>
          <w:sz w:val="28"/>
          <w:szCs w:val="28"/>
        </w:rPr>
        <w:t>申报机构须入市提供有关材料，并对申请材料的真实性负责。</w:t>
      </w:r>
    </w:p>
    <w:p/>
    <w:p>
      <w:pPr>
        <w:spacing w:line="360" w:lineRule="auto"/>
        <w:rPr>
          <w:b/>
          <w:bCs/>
          <w:color w:val="000000"/>
          <w:sz w:val="24"/>
          <w:szCs w:val="30"/>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sz w:val="21"/>
        <w:szCs w:val="21"/>
      </w:rPr>
    </w:pPr>
    <w:r>
      <w:rPr>
        <w:rStyle w:val="15"/>
        <w:rFonts w:hint="eastAsia"/>
        <w:sz w:val="21"/>
        <w:szCs w:val="21"/>
      </w:rPr>
      <w:t xml:space="preserve">— </w:t>
    </w:r>
    <w:r>
      <w:rPr>
        <w:rFonts w:hint="eastAsia"/>
        <w:sz w:val="21"/>
        <w:szCs w:val="21"/>
      </w:rPr>
      <w:fldChar w:fldCharType="begin"/>
    </w:r>
    <w:r>
      <w:rPr>
        <w:rStyle w:val="15"/>
        <w:rFonts w:hint="eastAsia"/>
        <w:sz w:val="21"/>
        <w:szCs w:val="21"/>
      </w:rPr>
      <w:instrText xml:space="preserve">PAGE  </w:instrText>
    </w:r>
    <w:r>
      <w:rPr>
        <w:rFonts w:hint="eastAsia"/>
        <w:sz w:val="21"/>
        <w:szCs w:val="21"/>
      </w:rPr>
      <w:fldChar w:fldCharType="separate"/>
    </w:r>
    <w:r>
      <w:rPr>
        <w:rStyle w:val="15"/>
        <w:sz w:val="21"/>
        <w:szCs w:val="21"/>
      </w:rPr>
      <w:t>12</w:t>
    </w:r>
    <w:r>
      <w:rPr>
        <w:rFonts w:hint="eastAsia"/>
        <w:sz w:val="21"/>
        <w:szCs w:val="21"/>
      </w:rPr>
      <w:fldChar w:fldCharType="end"/>
    </w:r>
    <w:r>
      <w:rPr>
        <w:rStyle w:val="15"/>
        <w:rFonts w:hint="eastAsia"/>
        <w:sz w:val="21"/>
        <w:szCs w:val="21"/>
      </w:rPr>
      <w:t xml:space="preserve"> —</w:t>
    </w:r>
  </w:p>
  <w:p>
    <w:pPr>
      <w:pStyle w:val="8"/>
      <w:ind w:right="360" w:firstLine="360"/>
      <w:rPr>
        <w:rFonts w:ascii="黑体" w:eastAsia="黑体"/>
        <w:sz w:val="21"/>
        <w:szCs w:val="21"/>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sz w:val="21"/>
        <w:szCs w:val="21"/>
      </w:rPr>
    </w:pPr>
    <w:r>
      <w:rPr>
        <w:rStyle w:val="15"/>
        <w:rFonts w:hint="eastAsia"/>
        <w:sz w:val="21"/>
        <w:szCs w:val="21"/>
      </w:rPr>
      <w:t xml:space="preserve">— </w:t>
    </w: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lang w:val="en-US"/>
      </w:rPr>
      <w:t>18</w:t>
    </w:r>
    <w:r>
      <w:rPr>
        <w:sz w:val="21"/>
        <w:szCs w:val="21"/>
      </w:rPr>
      <w:fldChar w:fldCharType="end"/>
    </w:r>
    <w:r>
      <w:rPr>
        <w:rStyle w:val="15"/>
        <w:rFonts w:hint="eastAsia"/>
        <w:sz w:val="21"/>
        <w:szCs w:val="21"/>
      </w:rPr>
      <w:t xml:space="preserve"> —</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5327B"/>
    <w:multiLevelType w:val="singleLevel"/>
    <w:tmpl w:val="5BE5327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zk3MGRmNDc1YzI1NWFkZTRjZWNmYzgwYWI1NzQifQ=="/>
  </w:docVars>
  <w:rsids>
    <w:rsidRoot w:val="00B67C5D"/>
    <w:rsid w:val="000B0D5B"/>
    <w:rsid w:val="000F57D7"/>
    <w:rsid w:val="00200E4C"/>
    <w:rsid w:val="0024216F"/>
    <w:rsid w:val="005062CF"/>
    <w:rsid w:val="00524822"/>
    <w:rsid w:val="007175C7"/>
    <w:rsid w:val="007A33C7"/>
    <w:rsid w:val="00820BC0"/>
    <w:rsid w:val="00B134E6"/>
    <w:rsid w:val="00B67C5D"/>
    <w:rsid w:val="00DB1C20"/>
    <w:rsid w:val="00F055AD"/>
    <w:rsid w:val="00F1541A"/>
    <w:rsid w:val="00FA79C1"/>
    <w:rsid w:val="4AAB700F"/>
    <w:rsid w:val="56310B5E"/>
    <w:rsid w:val="5DB3305D"/>
    <w:rsid w:val="6E704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8"/>
    <w:qFormat/>
    <w:uiPriority w:val="99"/>
    <w:pPr>
      <w:keepNext/>
      <w:keepLines/>
      <w:autoSpaceDE/>
      <w:autoSpaceDN/>
      <w:spacing w:before="340" w:after="330" w:line="578" w:lineRule="auto"/>
      <w:jc w:val="both"/>
      <w:outlineLvl w:val="0"/>
    </w:pPr>
    <w:rPr>
      <w:rFonts w:ascii="Times New Roman" w:hAnsi="Times New Roman" w:cs="Times New Roman"/>
      <w:b/>
      <w:bCs/>
      <w:kern w:val="44"/>
      <w:sz w:val="44"/>
      <w:szCs w:val="44"/>
      <w:lang w:val="en-US" w:eastAsia="en-US" w:bidi="ar-SA"/>
    </w:rPr>
  </w:style>
  <w:style w:type="paragraph" w:styleId="3">
    <w:name w:val="heading 2"/>
    <w:basedOn w:val="1"/>
    <w:next w:val="1"/>
    <w:link w:val="29"/>
    <w:qFormat/>
    <w:uiPriority w:val="0"/>
    <w:pPr>
      <w:keepNext/>
      <w:keepLines/>
      <w:autoSpaceDE/>
      <w:autoSpaceDN/>
      <w:spacing w:before="260" w:after="260" w:line="416" w:lineRule="auto"/>
      <w:jc w:val="both"/>
      <w:outlineLvl w:val="1"/>
    </w:pPr>
    <w:rPr>
      <w:rFonts w:ascii="Cambria" w:hAnsi="Cambria" w:cs="Times New Roman"/>
      <w:b/>
      <w:bCs/>
      <w:kern w:val="2"/>
      <w:sz w:val="32"/>
      <w:szCs w:val="32"/>
      <w:lang w:val="en-US" w:bidi="ar-SA"/>
    </w:rPr>
  </w:style>
  <w:style w:type="paragraph" w:styleId="4">
    <w:name w:val="heading 3"/>
    <w:basedOn w:val="1"/>
    <w:next w:val="1"/>
    <w:link w:val="3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val="en-US"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rPr>
      <w:sz w:val="28"/>
      <w:szCs w:val="28"/>
    </w:rPr>
  </w:style>
  <w:style w:type="paragraph" w:styleId="6">
    <w:name w:val="Date"/>
    <w:basedOn w:val="1"/>
    <w:next w:val="1"/>
    <w:link w:val="27"/>
    <w:qFormat/>
    <w:uiPriority w:val="99"/>
    <w:pPr>
      <w:ind w:left="100" w:leftChars="2500"/>
    </w:pPr>
  </w:style>
  <w:style w:type="paragraph" w:styleId="7">
    <w:name w:val="Balloon Text"/>
    <w:basedOn w:val="1"/>
    <w:link w:val="25"/>
    <w:qFormat/>
    <w:uiPriority w:val="99"/>
    <w:rPr>
      <w:sz w:val="18"/>
      <w:szCs w:val="18"/>
    </w:rPr>
  </w:style>
  <w:style w:type="paragraph" w:styleId="8">
    <w:name w:val="footer"/>
    <w:basedOn w:val="1"/>
    <w:link w:val="24"/>
    <w:qFormat/>
    <w:uiPriority w:val="0"/>
    <w:pPr>
      <w:tabs>
        <w:tab w:val="center" w:pos="4153"/>
        <w:tab w:val="right" w:pos="8306"/>
      </w:tabs>
      <w:snapToGrid w:val="0"/>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autoSpaceDE/>
      <w:autoSpaceDN/>
      <w:spacing w:before="100" w:beforeAutospacing="1" w:after="100" w:afterAutospacing="1"/>
    </w:pPr>
    <w:rPr>
      <w:rFonts w:ascii="Calibri" w:hAnsi="Calibri" w:cs="Times New Roman"/>
      <w:sz w:val="24"/>
      <w:lang w:val="en-US"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Calibri" w:hAnsi="Calibri" w:eastAsia="宋体" w:cs="Times New Roman"/>
      <w:b/>
      <w:bCs/>
    </w:rPr>
  </w:style>
  <w:style w:type="character" w:styleId="15">
    <w:name w:val="page number"/>
    <w:basedOn w:val="13"/>
    <w:qFormat/>
    <w:uiPriority w:val="0"/>
    <w:rPr>
      <w:rFonts w:ascii="Calibri" w:hAnsi="Calibri" w:eastAsia="宋体" w:cs="Times New Roman"/>
    </w:rPr>
  </w:style>
  <w:style w:type="character" w:styleId="16">
    <w:name w:val="FollowedHyperlink"/>
    <w:basedOn w:val="13"/>
    <w:qFormat/>
    <w:uiPriority w:val="99"/>
    <w:rPr>
      <w:color w:val="043B9C"/>
      <w:u w:val="none"/>
    </w:rPr>
  </w:style>
  <w:style w:type="character" w:styleId="17">
    <w:name w:val="Emphasis"/>
    <w:basedOn w:val="13"/>
    <w:qFormat/>
    <w:uiPriority w:val="20"/>
    <w:rPr>
      <w:i/>
    </w:rPr>
  </w:style>
  <w:style w:type="character" w:styleId="18">
    <w:name w:val="Hyperlink"/>
    <w:basedOn w:val="13"/>
    <w:qFormat/>
    <w:uiPriority w:val="99"/>
    <w:rPr>
      <w:color w:val="003300"/>
      <w:u w:val="none"/>
    </w:rPr>
  </w:style>
  <w:style w:type="character" w:customStyle="1" w:styleId="19">
    <w:name w:val="正文文本 Char"/>
    <w:basedOn w:val="13"/>
    <w:link w:val="5"/>
    <w:qFormat/>
    <w:uiPriority w:val="1"/>
    <w:rPr>
      <w:rFonts w:ascii="宋体" w:hAnsi="宋体" w:eastAsia="宋体" w:cs="宋体"/>
      <w:kern w:val="0"/>
      <w:sz w:val="28"/>
      <w:szCs w:val="28"/>
      <w:lang w:val="zh-CN" w:bidi="zh-CN"/>
    </w:rPr>
  </w:style>
  <w:style w:type="paragraph" w:customStyle="1" w:styleId="20">
    <w:name w:val="标题 11"/>
    <w:basedOn w:val="1"/>
    <w:qFormat/>
    <w:uiPriority w:val="1"/>
    <w:pPr>
      <w:ind w:left="221"/>
      <w:outlineLvl w:val="1"/>
    </w:pPr>
    <w:rPr>
      <w:b/>
      <w:bCs/>
      <w:sz w:val="28"/>
      <w:szCs w:val="28"/>
    </w:rPr>
  </w:style>
  <w:style w:type="table" w:customStyle="1" w:styleId="21">
    <w:name w:val="Table Normal"/>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Table Paragraph"/>
    <w:basedOn w:val="1"/>
    <w:qFormat/>
    <w:uiPriority w:val="1"/>
    <w:rPr>
      <w:rFonts w:ascii="微软雅黑" w:hAnsi="微软雅黑" w:eastAsia="微软雅黑" w:cs="微软雅黑"/>
    </w:rPr>
  </w:style>
  <w:style w:type="character" w:customStyle="1" w:styleId="23">
    <w:name w:val="页眉 Char"/>
    <w:basedOn w:val="13"/>
    <w:link w:val="9"/>
    <w:qFormat/>
    <w:uiPriority w:val="99"/>
    <w:rPr>
      <w:rFonts w:ascii="宋体" w:hAnsi="宋体" w:eastAsia="宋体" w:cs="宋体"/>
      <w:kern w:val="0"/>
      <w:sz w:val="18"/>
      <w:szCs w:val="18"/>
      <w:lang w:val="zh-CN" w:bidi="zh-CN"/>
    </w:rPr>
  </w:style>
  <w:style w:type="character" w:customStyle="1" w:styleId="24">
    <w:name w:val="页脚 Char"/>
    <w:basedOn w:val="13"/>
    <w:link w:val="8"/>
    <w:qFormat/>
    <w:uiPriority w:val="0"/>
    <w:rPr>
      <w:rFonts w:ascii="宋体" w:hAnsi="宋体" w:eastAsia="宋体" w:cs="宋体"/>
      <w:kern w:val="0"/>
      <w:sz w:val="18"/>
      <w:szCs w:val="18"/>
      <w:lang w:val="zh-CN" w:bidi="zh-CN"/>
    </w:rPr>
  </w:style>
  <w:style w:type="character" w:customStyle="1" w:styleId="25">
    <w:name w:val="批注框文本 Char"/>
    <w:basedOn w:val="13"/>
    <w:link w:val="7"/>
    <w:qFormat/>
    <w:uiPriority w:val="99"/>
    <w:rPr>
      <w:rFonts w:ascii="宋体" w:hAnsi="宋体" w:eastAsia="宋体" w:cs="宋体"/>
      <w:kern w:val="0"/>
      <w:sz w:val="18"/>
      <w:szCs w:val="18"/>
      <w:lang w:val="zh-CN" w:bidi="zh-CN"/>
    </w:rPr>
  </w:style>
  <w:style w:type="paragraph" w:styleId="26">
    <w:name w:val="List Paragraph"/>
    <w:basedOn w:val="1"/>
    <w:qFormat/>
    <w:uiPriority w:val="99"/>
    <w:pPr>
      <w:autoSpaceDE/>
      <w:autoSpaceDN/>
      <w:ind w:firstLine="420" w:firstLineChars="200"/>
      <w:jc w:val="both"/>
    </w:pPr>
    <w:rPr>
      <w:rFonts w:ascii="Calibri" w:hAnsi="Calibri"/>
      <w:kern w:val="2"/>
      <w:sz w:val="21"/>
      <w:lang w:val="en-US" w:bidi="ar-SA"/>
    </w:rPr>
  </w:style>
  <w:style w:type="character" w:customStyle="1" w:styleId="27">
    <w:name w:val="日期 Char"/>
    <w:basedOn w:val="13"/>
    <w:link w:val="6"/>
    <w:qFormat/>
    <w:uiPriority w:val="99"/>
    <w:rPr>
      <w:rFonts w:ascii="宋体" w:hAnsi="宋体"/>
      <w:sz w:val="22"/>
      <w:szCs w:val="22"/>
      <w:lang w:val="zh-CN" w:bidi="zh-CN"/>
    </w:rPr>
  </w:style>
  <w:style w:type="character" w:customStyle="1" w:styleId="28">
    <w:name w:val="标题 1 Char"/>
    <w:basedOn w:val="13"/>
    <w:link w:val="2"/>
    <w:qFormat/>
    <w:uiPriority w:val="99"/>
    <w:rPr>
      <w:rFonts w:ascii="Times New Roman" w:hAnsi="Times New Roman" w:cs="Times New Roman"/>
      <w:b/>
      <w:bCs/>
      <w:kern w:val="44"/>
      <w:sz w:val="44"/>
      <w:szCs w:val="44"/>
      <w:lang w:eastAsia="en-US"/>
    </w:rPr>
  </w:style>
  <w:style w:type="character" w:customStyle="1" w:styleId="29">
    <w:name w:val="标题 2 Char"/>
    <w:basedOn w:val="13"/>
    <w:link w:val="3"/>
    <w:qFormat/>
    <w:uiPriority w:val="0"/>
    <w:rPr>
      <w:rFonts w:ascii="Cambria" w:hAnsi="Cambria" w:cs="Times New Roman"/>
      <w:b/>
      <w:bCs/>
      <w:kern w:val="2"/>
      <w:sz w:val="32"/>
      <w:szCs w:val="32"/>
    </w:rPr>
  </w:style>
  <w:style w:type="character" w:customStyle="1" w:styleId="30">
    <w:name w:val="标题 3 Char"/>
    <w:basedOn w:val="13"/>
    <w:link w:val="4"/>
    <w:qFormat/>
    <w:uiPriority w:val="0"/>
    <w:rPr>
      <w:rFonts w:ascii="Times New Roman" w:hAnsi="Times New Roman" w:cs="Times New Roman"/>
      <w:b/>
      <w:bCs/>
      <w:kern w:val="2"/>
      <w:sz w:val="32"/>
      <w:szCs w:val="32"/>
    </w:rPr>
  </w:style>
  <w:style w:type="paragraph" w:customStyle="1" w:styleId="31">
    <w:name w:val="alignright"/>
    <w:basedOn w:val="1"/>
    <w:qFormat/>
    <w:uiPriority w:val="0"/>
    <w:pPr>
      <w:widowControl/>
      <w:autoSpaceDE/>
      <w:autoSpaceDN/>
      <w:spacing w:before="100" w:beforeAutospacing="1" w:after="100" w:afterAutospacing="1" w:line="432" w:lineRule="auto"/>
      <w:ind w:firstLine="525"/>
      <w:jc w:val="right"/>
    </w:pPr>
    <w:rPr>
      <w:rFonts w:cs="Times New Roman"/>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C34AF-097D-45E0-8525-0937818DE155}">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5879</Words>
  <Characters>5971</Characters>
  <Lines>52</Lines>
  <Paragraphs>14</Paragraphs>
  <TotalTime>39</TotalTime>
  <ScaleCrop>false</ScaleCrop>
  <LinksUpToDate>false</LinksUpToDate>
  <CharactersWithSpaces>6422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2020-06-30T01:39:00Z</dcterms:created>
  <dc:creator>DSHH</dc:creator>
  <cp:lastModifiedBy>小不点</cp:lastModifiedBy>
  <cp:lastPrinted>2020-06-16T14:43:00Z</cp:lastPrinted>
  <dcterms:modified xsi:type="dcterms:W3CDTF">2023-04-11T08:51:50Z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0B812102CF534EC38C2BD9910BAF9E5E_13</vt:lpwstr>
  </property>
</Properties>
</file>